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1BBA2" w14:textId="7C447A16" w:rsidR="00501053" w:rsidRDefault="00501053"/>
    <w:p w14:paraId="6A0C9AF8" w14:textId="00A21B67" w:rsidR="00190C2C" w:rsidRDefault="00190C2C"/>
    <w:p w14:paraId="6601E2D5" w14:textId="7167E9DB" w:rsidR="00190C2C" w:rsidRDefault="00190C2C"/>
    <w:sdt>
      <w:sdtPr>
        <w:rPr>
          <w:b/>
          <w:bCs/>
          <w:sz w:val="24"/>
          <w:szCs w:val="24"/>
        </w:rPr>
        <w:id w:val="1637839906"/>
        <w:docPartObj>
          <w:docPartGallery w:val="Table of Contents"/>
          <w:docPartUnique/>
        </w:docPartObj>
      </w:sdtPr>
      <w:sdtEndPr>
        <w:rPr>
          <w:b w:val="0"/>
          <w:bCs w:val="0"/>
          <w:noProof/>
          <w:sz w:val="20"/>
          <w:szCs w:val="20"/>
        </w:rPr>
      </w:sdtEndPr>
      <w:sdtContent>
        <w:p w14:paraId="74C9DF85" w14:textId="77777777" w:rsidR="00BA56C7" w:rsidRDefault="00BA56C7">
          <w:pPr>
            <w:pStyle w:val="TOC2"/>
            <w:tabs>
              <w:tab w:val="right" w:pos="9016"/>
            </w:tabs>
            <w:rPr>
              <w:rFonts w:eastAsiaTheme="minorEastAsia"/>
              <w:i w:val="0"/>
              <w:iCs w:val="0"/>
              <w:noProof/>
              <w:sz w:val="24"/>
              <w:szCs w:val="24"/>
              <w:lang w:eastAsia="en-GB"/>
            </w:rPr>
          </w:pPr>
          <w:r>
            <w:rPr>
              <w:b/>
              <w:bCs/>
            </w:rPr>
            <w:fldChar w:fldCharType="begin"/>
          </w:r>
          <w:r>
            <w:rPr>
              <w:b/>
              <w:bCs/>
            </w:rPr>
            <w:instrText xml:space="preserve"> TOC \o "1-3" \n \p " " \h \z \u </w:instrText>
          </w:r>
          <w:r>
            <w:rPr>
              <w:b/>
              <w:bCs/>
            </w:rPr>
            <w:fldChar w:fldCharType="separate"/>
          </w:r>
          <w:hyperlink w:anchor="_Toc102415941" w:history="1">
            <w:r w:rsidRPr="008F17A3">
              <w:rPr>
                <w:rStyle w:val="Hyperlink"/>
                <w:noProof/>
              </w:rPr>
              <w:t>Doctor of Philosophy in Regulatory Science (Full Time)</w:t>
            </w:r>
          </w:hyperlink>
        </w:p>
        <w:p w14:paraId="7F90DFFB" w14:textId="77777777" w:rsidR="00BA56C7" w:rsidRDefault="00BA56C7">
          <w:pPr>
            <w:pStyle w:val="TOC2"/>
            <w:tabs>
              <w:tab w:val="right" w:pos="9016"/>
            </w:tabs>
            <w:rPr>
              <w:rFonts w:eastAsiaTheme="minorEastAsia"/>
              <w:i w:val="0"/>
              <w:iCs w:val="0"/>
              <w:noProof/>
              <w:sz w:val="24"/>
              <w:szCs w:val="24"/>
              <w:lang w:eastAsia="en-GB"/>
            </w:rPr>
          </w:pPr>
          <w:hyperlink w:anchor="_Toc102415942" w:history="1">
            <w:r w:rsidRPr="008F17A3">
              <w:rPr>
                <w:rStyle w:val="Hyperlink"/>
                <w:noProof/>
              </w:rPr>
              <w:t>About the programme</w:t>
            </w:r>
          </w:hyperlink>
        </w:p>
        <w:p w14:paraId="73EDAB53" w14:textId="77777777" w:rsidR="00BA56C7" w:rsidRDefault="00BA56C7">
          <w:pPr>
            <w:pStyle w:val="TOC3"/>
            <w:tabs>
              <w:tab w:val="right" w:pos="9016"/>
            </w:tabs>
            <w:rPr>
              <w:rFonts w:eastAsiaTheme="minorEastAsia"/>
              <w:noProof/>
              <w:sz w:val="24"/>
              <w:szCs w:val="24"/>
              <w:lang w:eastAsia="en-GB"/>
            </w:rPr>
          </w:pPr>
          <w:hyperlink w:anchor="_Toc102415943" w:history="1">
            <w:r w:rsidRPr="008F17A3">
              <w:rPr>
                <w:rStyle w:val="Hyperlink"/>
                <w:b/>
                <w:noProof/>
              </w:rPr>
              <w:t>Admission Requirements</w:t>
            </w:r>
          </w:hyperlink>
        </w:p>
        <w:p w14:paraId="7FD274D4" w14:textId="77777777" w:rsidR="00BA56C7" w:rsidRDefault="00BA56C7">
          <w:pPr>
            <w:pStyle w:val="TOC3"/>
            <w:tabs>
              <w:tab w:val="right" w:pos="9016"/>
            </w:tabs>
            <w:rPr>
              <w:rFonts w:eastAsiaTheme="minorEastAsia"/>
              <w:noProof/>
              <w:sz w:val="24"/>
              <w:szCs w:val="24"/>
              <w:lang w:eastAsia="en-GB"/>
            </w:rPr>
          </w:pPr>
          <w:hyperlink w:anchor="_Toc102415944" w:history="1">
            <w:r w:rsidRPr="008F17A3">
              <w:rPr>
                <w:rStyle w:val="Hyperlink"/>
                <w:b/>
                <w:noProof/>
              </w:rPr>
              <w:t>Duration for Ph.D.</w:t>
            </w:r>
          </w:hyperlink>
        </w:p>
        <w:p w14:paraId="47D8D596" w14:textId="77777777" w:rsidR="00BA56C7" w:rsidRDefault="00BA56C7">
          <w:pPr>
            <w:pStyle w:val="TOC3"/>
            <w:tabs>
              <w:tab w:val="right" w:pos="9016"/>
            </w:tabs>
            <w:rPr>
              <w:rFonts w:eastAsiaTheme="minorEastAsia"/>
              <w:noProof/>
              <w:sz w:val="24"/>
              <w:szCs w:val="24"/>
              <w:lang w:eastAsia="en-GB"/>
            </w:rPr>
          </w:pPr>
          <w:hyperlink w:anchor="_Toc102415945" w:history="1">
            <w:r w:rsidRPr="008F17A3">
              <w:rPr>
                <w:rStyle w:val="Hyperlink"/>
                <w:b/>
                <w:noProof/>
              </w:rPr>
              <w:t>Graduation Requirement</w:t>
            </w:r>
          </w:hyperlink>
        </w:p>
        <w:p w14:paraId="6486BCF9" w14:textId="77777777" w:rsidR="00BA56C7" w:rsidRDefault="00BA56C7">
          <w:pPr>
            <w:pStyle w:val="TOC3"/>
            <w:tabs>
              <w:tab w:val="right" w:pos="9016"/>
            </w:tabs>
            <w:rPr>
              <w:rFonts w:eastAsiaTheme="minorEastAsia"/>
              <w:noProof/>
              <w:sz w:val="24"/>
              <w:szCs w:val="24"/>
              <w:lang w:eastAsia="en-GB"/>
            </w:rPr>
          </w:pPr>
          <w:hyperlink w:anchor="_Toc102415946" w:history="1">
            <w:r w:rsidRPr="008F17A3">
              <w:rPr>
                <w:rStyle w:val="Hyperlink"/>
                <w:b/>
                <w:noProof/>
              </w:rPr>
              <w:t>List of Courses for Ph.D. in Regulatory Science</w:t>
            </w:r>
          </w:hyperlink>
        </w:p>
        <w:p w14:paraId="200C825D" w14:textId="490349BA" w:rsidR="00BA56C7" w:rsidRDefault="00BA56C7">
          <w:pPr>
            <w:pStyle w:val="TOC3"/>
            <w:tabs>
              <w:tab w:val="right" w:pos="9016"/>
            </w:tabs>
            <w:rPr>
              <w:rFonts w:eastAsiaTheme="minorEastAsia"/>
              <w:noProof/>
              <w:sz w:val="24"/>
              <w:szCs w:val="24"/>
              <w:lang w:eastAsia="en-GB"/>
            </w:rPr>
          </w:pPr>
          <w:hyperlink w:anchor="_Toc102415947" w:history="1">
            <w:r w:rsidRPr="008F17A3">
              <w:rPr>
                <w:rStyle w:val="Hyperlink"/>
                <w:noProof/>
              </w:rPr>
              <w:t>Summary of number of units compulsory and elective courses</w:t>
            </w:r>
          </w:hyperlink>
        </w:p>
        <w:p w14:paraId="1AF1DE76" w14:textId="77777777" w:rsidR="00BA56C7" w:rsidRDefault="00BA56C7">
          <w:pPr>
            <w:pStyle w:val="TOC2"/>
            <w:tabs>
              <w:tab w:val="right" w:pos="9016"/>
            </w:tabs>
            <w:rPr>
              <w:rFonts w:eastAsiaTheme="minorEastAsia"/>
              <w:i w:val="0"/>
              <w:iCs w:val="0"/>
              <w:noProof/>
              <w:sz w:val="24"/>
              <w:szCs w:val="24"/>
              <w:lang w:eastAsia="en-GB"/>
            </w:rPr>
          </w:pPr>
          <w:hyperlink w:anchor="_Toc102415948" w:history="1">
            <w:r w:rsidRPr="008F17A3">
              <w:rPr>
                <w:rStyle w:val="Hyperlink"/>
                <w:noProof/>
              </w:rPr>
              <w:t>Course Contents/Description</w:t>
            </w:r>
          </w:hyperlink>
        </w:p>
        <w:p w14:paraId="0E3008C2" w14:textId="4BF022F1" w:rsidR="00530AC9" w:rsidRDefault="00BA56C7" w:rsidP="00BA56C7">
          <w:pPr>
            <w:pStyle w:val="TOC2"/>
            <w:tabs>
              <w:tab w:val="right" w:pos="9016"/>
            </w:tabs>
          </w:pPr>
          <w:r>
            <w:rPr>
              <w:b/>
              <w:bCs/>
            </w:rPr>
            <w:fldChar w:fldCharType="end"/>
          </w:r>
        </w:p>
      </w:sdtContent>
    </w:sdt>
    <w:p w14:paraId="3A83721E" w14:textId="5FBDB09A" w:rsidR="00190C2C" w:rsidRDefault="00190C2C">
      <w:r>
        <w:br w:type="page"/>
      </w:r>
    </w:p>
    <w:p w14:paraId="0B2CFDA2" w14:textId="580AE2BA" w:rsidR="00190C2C" w:rsidRDefault="00190C2C"/>
    <w:p w14:paraId="4DAEBEB3" w14:textId="77777777" w:rsidR="00190C2C" w:rsidRPr="007F163A" w:rsidRDefault="00190C2C" w:rsidP="00190C2C">
      <w:pPr>
        <w:pStyle w:val="Heading2"/>
        <w:rPr>
          <w:sz w:val="22"/>
          <w:szCs w:val="24"/>
        </w:rPr>
      </w:pPr>
      <w:bookmarkStart w:id="0" w:name="_Toc102403304"/>
      <w:bookmarkStart w:id="1" w:name="_Toc102415941"/>
      <w:r w:rsidRPr="007F163A">
        <w:rPr>
          <w:sz w:val="22"/>
          <w:szCs w:val="24"/>
        </w:rPr>
        <w:t>Doctor of Philosophy in Regulatory Science (Full Time)</w:t>
      </w:r>
      <w:bookmarkEnd w:id="0"/>
      <w:bookmarkEnd w:id="1"/>
    </w:p>
    <w:p w14:paraId="196DF68C" w14:textId="0FD5CAAF" w:rsidR="00530AC9" w:rsidRDefault="00530AC9" w:rsidP="00190C2C">
      <w:pPr>
        <w:pStyle w:val="NormalWeb"/>
        <w:jc w:val="both"/>
        <w:rPr>
          <w:sz w:val="22"/>
          <w:szCs w:val="22"/>
        </w:rPr>
      </w:pPr>
    </w:p>
    <w:p w14:paraId="267FCC85" w14:textId="1F541D8F" w:rsidR="00530AC9" w:rsidRPr="00530AC9" w:rsidRDefault="00530AC9" w:rsidP="00530AC9">
      <w:pPr>
        <w:pStyle w:val="Heading2"/>
      </w:pPr>
      <w:bookmarkStart w:id="2" w:name="_Toc102415942"/>
      <w:r>
        <w:t xml:space="preserve">About the </w:t>
      </w:r>
      <w:proofErr w:type="spellStart"/>
      <w:r>
        <w:t>programme</w:t>
      </w:r>
      <w:bookmarkEnd w:id="2"/>
      <w:proofErr w:type="spellEnd"/>
    </w:p>
    <w:p w14:paraId="43D6CA9E" w14:textId="2A980EE2" w:rsidR="00190C2C" w:rsidRPr="007F163A" w:rsidRDefault="00190C2C" w:rsidP="00190C2C">
      <w:pPr>
        <w:pStyle w:val="NormalWeb"/>
        <w:jc w:val="both"/>
        <w:rPr>
          <w:sz w:val="22"/>
          <w:szCs w:val="22"/>
        </w:rPr>
      </w:pPr>
      <w:r w:rsidRPr="007F163A">
        <w:rPr>
          <w:sz w:val="22"/>
          <w:szCs w:val="22"/>
        </w:rPr>
        <w:t>In a recent market survey in which industries were asked what skill sets are needed to develop regulatory leaders, attention was drawn to three types of capabilities: outstanding people and project management skills, a good capability to understand and work within transnational organizations to make globally relevant decisions, and a broader knowledge of policy and business than is typically acquired at junior and mid-levels of the regulatory career structure. A further pressing problem is the graying of the current high-level regulatory professional. Most of the current leadership in Regulatory Science comes from individuals on the verge of retirement. These individuals learned on-the-job slowly as the regulations developed and now are leaving the field; the next generation of leaders will not have the same luxury.</w:t>
      </w:r>
    </w:p>
    <w:p w14:paraId="2227F753" w14:textId="77777777" w:rsidR="00190C2C" w:rsidRPr="007F163A" w:rsidRDefault="00190C2C" w:rsidP="00190C2C">
      <w:pPr>
        <w:jc w:val="both"/>
        <w:rPr>
          <w:sz w:val="22"/>
          <w:szCs w:val="22"/>
        </w:rPr>
      </w:pPr>
      <w:r w:rsidRPr="007F163A">
        <w:rPr>
          <w:sz w:val="22"/>
          <w:szCs w:val="22"/>
        </w:rPr>
        <w:t xml:space="preserve">The aim is to provide advanced knowledge on development of new tools, standards and current trends on assessment of safety, efficacy, quality and performance of regulated products. </w:t>
      </w:r>
    </w:p>
    <w:p w14:paraId="72480284" w14:textId="77777777" w:rsidR="00190C2C" w:rsidRPr="007F163A" w:rsidRDefault="00190C2C" w:rsidP="00190C2C">
      <w:pPr>
        <w:spacing w:before="100" w:beforeAutospacing="1" w:after="100" w:afterAutospacing="1"/>
        <w:rPr>
          <w:sz w:val="22"/>
          <w:szCs w:val="22"/>
        </w:rPr>
      </w:pPr>
      <w:r w:rsidRPr="007F163A">
        <w:rPr>
          <w:sz w:val="22"/>
          <w:szCs w:val="22"/>
        </w:rPr>
        <w:t>The graduates will be accountable for their own learning and professional training by:</w:t>
      </w:r>
    </w:p>
    <w:p w14:paraId="4F957A36" w14:textId="77777777" w:rsidR="00190C2C" w:rsidRPr="007F163A" w:rsidRDefault="00190C2C" w:rsidP="00190C2C">
      <w:pPr>
        <w:ind w:left="426" w:hanging="426"/>
        <w:jc w:val="both"/>
        <w:rPr>
          <w:sz w:val="22"/>
          <w:szCs w:val="22"/>
        </w:rPr>
      </w:pPr>
      <w:r w:rsidRPr="007F163A">
        <w:rPr>
          <w:sz w:val="22"/>
          <w:szCs w:val="22"/>
        </w:rPr>
        <w:t xml:space="preserve"> (a) conceptualizing, designing and implementing a project which will increase knowledge that is applicable or contributes new insights in Regulatory Science; </w:t>
      </w:r>
    </w:p>
    <w:p w14:paraId="347E57FD" w14:textId="77777777" w:rsidR="00190C2C" w:rsidRPr="007F163A" w:rsidRDefault="00190C2C" w:rsidP="00190C2C">
      <w:pPr>
        <w:ind w:left="426" w:hanging="426"/>
        <w:jc w:val="both"/>
        <w:rPr>
          <w:sz w:val="22"/>
          <w:szCs w:val="22"/>
        </w:rPr>
      </w:pPr>
    </w:p>
    <w:p w14:paraId="6E024DBD" w14:textId="77777777" w:rsidR="00190C2C" w:rsidRPr="007F163A" w:rsidRDefault="00190C2C" w:rsidP="00190C2C">
      <w:pPr>
        <w:ind w:left="426" w:hanging="426"/>
        <w:jc w:val="both"/>
        <w:rPr>
          <w:sz w:val="22"/>
          <w:szCs w:val="22"/>
        </w:rPr>
      </w:pPr>
      <w:r w:rsidRPr="007F163A">
        <w:rPr>
          <w:sz w:val="22"/>
          <w:szCs w:val="22"/>
        </w:rPr>
        <w:t xml:space="preserve">(b) evaluating ideas and making informed judgements on complex issues or challenges in the field of specialization; </w:t>
      </w:r>
    </w:p>
    <w:p w14:paraId="696D3AC7" w14:textId="77777777" w:rsidR="00190C2C" w:rsidRPr="007F163A" w:rsidRDefault="00190C2C" w:rsidP="00190C2C">
      <w:pPr>
        <w:ind w:left="426" w:hanging="426"/>
        <w:jc w:val="both"/>
        <w:rPr>
          <w:sz w:val="22"/>
          <w:szCs w:val="22"/>
        </w:rPr>
      </w:pPr>
    </w:p>
    <w:p w14:paraId="1E74CC85" w14:textId="77777777" w:rsidR="00190C2C" w:rsidRPr="007F163A" w:rsidRDefault="00190C2C" w:rsidP="00190C2C">
      <w:pPr>
        <w:ind w:left="426" w:hanging="426"/>
        <w:jc w:val="both"/>
        <w:rPr>
          <w:sz w:val="22"/>
          <w:szCs w:val="22"/>
        </w:rPr>
      </w:pPr>
      <w:r w:rsidRPr="007F163A">
        <w:rPr>
          <w:sz w:val="22"/>
          <w:szCs w:val="22"/>
        </w:rPr>
        <w:t>(c) communicating ideas, methodologies and conclusions clearly and effectively to specialist and non-specialist audiences</w:t>
      </w:r>
    </w:p>
    <w:p w14:paraId="01D6D732" w14:textId="77777777" w:rsidR="00190C2C" w:rsidRPr="007F163A" w:rsidRDefault="00190C2C" w:rsidP="00190C2C">
      <w:pPr>
        <w:pStyle w:val="NormalWeb"/>
        <w:contextualSpacing/>
        <w:jc w:val="both"/>
        <w:rPr>
          <w:sz w:val="22"/>
          <w:szCs w:val="22"/>
        </w:rPr>
      </w:pPr>
      <w:r w:rsidRPr="007F163A">
        <w:rPr>
          <w:sz w:val="22"/>
          <w:szCs w:val="22"/>
        </w:rPr>
        <w:t>If we are to assure that new technologically sophisticated products make it to the marketplace, we must find new ways of benchmarking best practices and shortening the critical path that now exceeds a decade for most innovative pharmaceuticals and devices.   Graduates will</w:t>
      </w:r>
    </w:p>
    <w:p w14:paraId="2A0A5A94" w14:textId="77777777" w:rsidR="00190C2C" w:rsidRPr="007F163A" w:rsidRDefault="00190C2C" w:rsidP="00190C2C">
      <w:pPr>
        <w:numPr>
          <w:ilvl w:val="0"/>
          <w:numId w:val="6"/>
        </w:numPr>
        <w:tabs>
          <w:tab w:val="clear" w:pos="1080"/>
          <w:tab w:val="num" w:pos="426"/>
        </w:tabs>
        <w:spacing w:before="100" w:beforeAutospacing="1" w:after="100" w:afterAutospacing="1"/>
        <w:ind w:left="426" w:hanging="284"/>
        <w:jc w:val="both"/>
        <w:rPr>
          <w:sz w:val="22"/>
          <w:szCs w:val="22"/>
        </w:rPr>
      </w:pPr>
      <w:r w:rsidRPr="007F163A">
        <w:rPr>
          <w:sz w:val="22"/>
          <w:szCs w:val="22"/>
        </w:rPr>
        <w:t>become highly skilled in critical thinking and analysis.</w:t>
      </w:r>
    </w:p>
    <w:p w14:paraId="6A41A932" w14:textId="77777777" w:rsidR="00190C2C" w:rsidRPr="007F163A" w:rsidRDefault="00190C2C" w:rsidP="00190C2C">
      <w:pPr>
        <w:numPr>
          <w:ilvl w:val="0"/>
          <w:numId w:val="6"/>
        </w:numPr>
        <w:tabs>
          <w:tab w:val="clear" w:pos="1080"/>
          <w:tab w:val="num" w:pos="426"/>
        </w:tabs>
        <w:spacing w:before="100" w:beforeAutospacing="1" w:after="100" w:afterAutospacing="1"/>
        <w:ind w:left="426" w:hanging="284"/>
        <w:jc w:val="both"/>
        <w:rPr>
          <w:sz w:val="22"/>
          <w:szCs w:val="22"/>
        </w:rPr>
      </w:pPr>
      <w:r w:rsidRPr="007F163A">
        <w:rPr>
          <w:sz w:val="22"/>
          <w:szCs w:val="22"/>
        </w:rPr>
        <w:t>expertly discuss concepts of right, wrong, good and bad.</w:t>
      </w:r>
    </w:p>
    <w:p w14:paraId="7404D44E" w14:textId="77777777" w:rsidR="00190C2C" w:rsidRPr="007F163A" w:rsidRDefault="00190C2C" w:rsidP="00190C2C">
      <w:pPr>
        <w:numPr>
          <w:ilvl w:val="0"/>
          <w:numId w:val="6"/>
        </w:numPr>
        <w:tabs>
          <w:tab w:val="clear" w:pos="1080"/>
          <w:tab w:val="num" w:pos="426"/>
        </w:tabs>
        <w:spacing w:before="100" w:beforeAutospacing="1" w:after="100" w:afterAutospacing="1"/>
        <w:ind w:left="426" w:hanging="284"/>
        <w:jc w:val="both"/>
        <w:rPr>
          <w:sz w:val="22"/>
          <w:szCs w:val="22"/>
        </w:rPr>
      </w:pPr>
      <w:r w:rsidRPr="007F163A">
        <w:rPr>
          <w:sz w:val="22"/>
          <w:szCs w:val="22"/>
        </w:rPr>
        <w:t>demonstrate clear understanding of moral principles and their application in everyday life.</w:t>
      </w:r>
    </w:p>
    <w:p w14:paraId="785198D0" w14:textId="77777777" w:rsidR="00190C2C" w:rsidRPr="007F163A" w:rsidRDefault="00190C2C" w:rsidP="00190C2C">
      <w:pPr>
        <w:numPr>
          <w:ilvl w:val="0"/>
          <w:numId w:val="6"/>
        </w:numPr>
        <w:tabs>
          <w:tab w:val="clear" w:pos="1080"/>
          <w:tab w:val="num" w:pos="426"/>
        </w:tabs>
        <w:spacing w:before="100" w:beforeAutospacing="1" w:after="100" w:afterAutospacing="1"/>
        <w:ind w:left="426" w:hanging="284"/>
        <w:jc w:val="both"/>
        <w:rPr>
          <w:sz w:val="22"/>
          <w:szCs w:val="22"/>
        </w:rPr>
      </w:pPr>
      <w:r w:rsidRPr="007F163A">
        <w:rPr>
          <w:sz w:val="22"/>
          <w:szCs w:val="22"/>
        </w:rPr>
        <w:t>demonstrate the ability to read and interpret philosophical texts.</w:t>
      </w:r>
    </w:p>
    <w:p w14:paraId="6D6053BA" w14:textId="77777777" w:rsidR="00190C2C" w:rsidRPr="007F163A" w:rsidRDefault="00190C2C" w:rsidP="00190C2C">
      <w:pPr>
        <w:numPr>
          <w:ilvl w:val="0"/>
          <w:numId w:val="6"/>
        </w:numPr>
        <w:tabs>
          <w:tab w:val="clear" w:pos="1080"/>
          <w:tab w:val="num" w:pos="426"/>
        </w:tabs>
        <w:spacing w:before="100" w:beforeAutospacing="1" w:after="100" w:afterAutospacing="1"/>
        <w:ind w:left="426" w:hanging="284"/>
        <w:jc w:val="both"/>
        <w:rPr>
          <w:sz w:val="22"/>
          <w:szCs w:val="22"/>
        </w:rPr>
      </w:pPr>
      <w:r w:rsidRPr="007F163A">
        <w:rPr>
          <w:sz w:val="22"/>
          <w:szCs w:val="22"/>
        </w:rPr>
        <w:t>demonstrates how to extract a specific topic within its relevant larger philosophical context.</w:t>
      </w:r>
    </w:p>
    <w:p w14:paraId="237903A1" w14:textId="77777777" w:rsidR="00190C2C" w:rsidRPr="007F163A" w:rsidRDefault="00190C2C" w:rsidP="00190C2C">
      <w:pPr>
        <w:numPr>
          <w:ilvl w:val="0"/>
          <w:numId w:val="6"/>
        </w:numPr>
        <w:tabs>
          <w:tab w:val="clear" w:pos="1080"/>
          <w:tab w:val="num" w:pos="426"/>
        </w:tabs>
        <w:spacing w:before="100" w:beforeAutospacing="1" w:after="100" w:afterAutospacing="1"/>
        <w:ind w:left="426" w:hanging="284"/>
        <w:jc w:val="both"/>
        <w:rPr>
          <w:sz w:val="22"/>
          <w:szCs w:val="22"/>
        </w:rPr>
      </w:pPr>
      <w:r w:rsidRPr="007F163A">
        <w:rPr>
          <w:sz w:val="22"/>
          <w:szCs w:val="22"/>
        </w:rPr>
        <w:t>demonstrate proficiency in writing philosophical essays that have coherent theses and acceptable supporting arguments.</w:t>
      </w:r>
    </w:p>
    <w:p w14:paraId="748CF11B" w14:textId="77777777" w:rsidR="00190C2C" w:rsidRDefault="00190C2C" w:rsidP="00190C2C">
      <w:pPr>
        <w:numPr>
          <w:ilvl w:val="0"/>
          <w:numId w:val="6"/>
        </w:numPr>
        <w:tabs>
          <w:tab w:val="clear" w:pos="1080"/>
          <w:tab w:val="num" w:pos="426"/>
        </w:tabs>
        <w:spacing w:before="100" w:beforeAutospacing="1" w:after="100" w:afterAutospacing="1"/>
        <w:ind w:left="426" w:hanging="284"/>
        <w:jc w:val="both"/>
        <w:rPr>
          <w:sz w:val="22"/>
          <w:szCs w:val="22"/>
        </w:rPr>
      </w:pPr>
      <w:r w:rsidRPr="007F163A">
        <w:rPr>
          <w:sz w:val="22"/>
          <w:szCs w:val="22"/>
        </w:rPr>
        <w:t>demonstrate the ability to use conceptual frameworks including epistemological, ethical, metaphysical, as well as other philosophical specializations.</w:t>
      </w:r>
    </w:p>
    <w:p w14:paraId="5E0A8CCC" w14:textId="77777777" w:rsidR="00190C2C" w:rsidRPr="00EC56EF" w:rsidRDefault="00190C2C" w:rsidP="00190C2C">
      <w:pPr>
        <w:spacing w:before="100" w:beforeAutospacing="1" w:after="100" w:afterAutospacing="1"/>
        <w:ind w:left="426"/>
        <w:jc w:val="both"/>
        <w:rPr>
          <w:sz w:val="22"/>
          <w:szCs w:val="22"/>
        </w:rPr>
      </w:pPr>
    </w:p>
    <w:p w14:paraId="55C84ED7" w14:textId="0A81B695" w:rsidR="00190C2C" w:rsidRPr="007F163A" w:rsidRDefault="00190C2C" w:rsidP="00190C2C">
      <w:pPr>
        <w:pStyle w:val="Heading3"/>
        <w:numPr>
          <w:ilvl w:val="0"/>
          <w:numId w:val="0"/>
        </w:numPr>
        <w:rPr>
          <w:b/>
          <w:bCs w:val="0"/>
          <w:sz w:val="22"/>
          <w:szCs w:val="24"/>
        </w:rPr>
      </w:pPr>
      <w:bookmarkStart w:id="3" w:name="_Toc97749116"/>
      <w:r w:rsidRPr="007F163A">
        <w:rPr>
          <w:sz w:val="22"/>
          <w:szCs w:val="24"/>
        </w:rPr>
        <w:t xml:space="preserve"> </w:t>
      </w:r>
      <w:bookmarkStart w:id="4" w:name="_Toc102415943"/>
      <w:r w:rsidRPr="007F163A">
        <w:rPr>
          <w:b/>
          <w:bCs w:val="0"/>
          <w:sz w:val="22"/>
          <w:szCs w:val="24"/>
        </w:rPr>
        <w:t>Admission Requirements</w:t>
      </w:r>
      <w:bookmarkEnd w:id="3"/>
      <w:bookmarkEnd w:id="4"/>
    </w:p>
    <w:p w14:paraId="00857B0E" w14:textId="77777777" w:rsidR="00190C2C" w:rsidRPr="007F163A" w:rsidRDefault="00190C2C" w:rsidP="00190C2C">
      <w:pPr>
        <w:rPr>
          <w:sz w:val="18"/>
          <w:szCs w:val="18"/>
        </w:rPr>
      </w:pPr>
    </w:p>
    <w:p w14:paraId="1BCE7F9C" w14:textId="77777777" w:rsidR="00190C2C" w:rsidRPr="007F163A" w:rsidRDefault="00190C2C" w:rsidP="00190C2C">
      <w:pPr>
        <w:numPr>
          <w:ilvl w:val="0"/>
          <w:numId w:val="3"/>
        </w:numPr>
        <w:ind w:left="426" w:hanging="426"/>
        <w:contextualSpacing/>
        <w:jc w:val="both"/>
        <w:rPr>
          <w:color w:val="000000"/>
          <w:sz w:val="22"/>
          <w:szCs w:val="22"/>
        </w:rPr>
      </w:pPr>
      <w:r w:rsidRPr="007F163A">
        <w:rPr>
          <w:color w:val="000000"/>
          <w:sz w:val="22"/>
          <w:szCs w:val="22"/>
        </w:rPr>
        <w:t>Candidates for the Ph.D. Regulatory Science programme shall possess any of the following qualifications:</w:t>
      </w:r>
    </w:p>
    <w:p w14:paraId="5C024E00" w14:textId="77777777" w:rsidR="00190C2C" w:rsidRPr="007F163A" w:rsidRDefault="00190C2C" w:rsidP="00190C2C">
      <w:pPr>
        <w:numPr>
          <w:ilvl w:val="0"/>
          <w:numId w:val="4"/>
        </w:numPr>
        <w:ind w:left="709" w:hanging="283"/>
        <w:contextualSpacing/>
        <w:jc w:val="both"/>
        <w:rPr>
          <w:sz w:val="22"/>
          <w:szCs w:val="22"/>
        </w:rPr>
      </w:pPr>
      <w:r w:rsidRPr="007F163A">
        <w:rPr>
          <w:sz w:val="22"/>
          <w:szCs w:val="22"/>
        </w:rPr>
        <w:lastRenderedPageBreak/>
        <w:t xml:space="preserve">An M.Sc. </w:t>
      </w:r>
      <w:r w:rsidRPr="007F163A">
        <w:rPr>
          <w:color w:val="000000"/>
          <w:sz w:val="22"/>
          <w:szCs w:val="22"/>
        </w:rPr>
        <w:t xml:space="preserve">Regulatory Science </w:t>
      </w:r>
      <w:r w:rsidRPr="007F163A">
        <w:rPr>
          <w:sz w:val="22"/>
          <w:szCs w:val="22"/>
        </w:rPr>
        <w:t>Degree with a minimum CGPA of 4.00 out of 5.00 from this center or an equivalent qualification from any other approved university.</w:t>
      </w:r>
    </w:p>
    <w:p w14:paraId="5F774288" w14:textId="77777777" w:rsidR="00190C2C" w:rsidRPr="007F163A" w:rsidRDefault="00190C2C" w:rsidP="00190C2C">
      <w:pPr>
        <w:numPr>
          <w:ilvl w:val="0"/>
          <w:numId w:val="2"/>
        </w:numPr>
        <w:ind w:left="709" w:hanging="283"/>
        <w:contextualSpacing/>
        <w:jc w:val="both"/>
        <w:rPr>
          <w:sz w:val="22"/>
          <w:szCs w:val="22"/>
        </w:rPr>
      </w:pPr>
      <w:r w:rsidRPr="007F163A">
        <w:rPr>
          <w:sz w:val="22"/>
          <w:szCs w:val="22"/>
        </w:rPr>
        <w:t xml:space="preserve">An M. Phil. </w:t>
      </w:r>
      <w:r w:rsidRPr="007F163A">
        <w:rPr>
          <w:color w:val="000000"/>
          <w:sz w:val="22"/>
          <w:szCs w:val="22"/>
        </w:rPr>
        <w:t xml:space="preserve">Regulatory Science </w:t>
      </w:r>
      <w:r w:rsidRPr="007F163A">
        <w:rPr>
          <w:sz w:val="22"/>
          <w:szCs w:val="22"/>
        </w:rPr>
        <w:t>Degree with a minimum CGPA of 4.00 from this center or an equivalent qualification from any other approved university.</w:t>
      </w:r>
    </w:p>
    <w:p w14:paraId="7D404C8B" w14:textId="77777777" w:rsidR="00190C2C" w:rsidRPr="007F163A" w:rsidRDefault="00190C2C" w:rsidP="00190C2C">
      <w:pPr>
        <w:numPr>
          <w:ilvl w:val="0"/>
          <w:numId w:val="2"/>
        </w:numPr>
        <w:ind w:left="709" w:hanging="283"/>
        <w:contextualSpacing/>
        <w:jc w:val="both"/>
        <w:rPr>
          <w:sz w:val="22"/>
          <w:szCs w:val="22"/>
        </w:rPr>
      </w:pPr>
      <w:r w:rsidRPr="007F163A">
        <w:rPr>
          <w:sz w:val="22"/>
          <w:szCs w:val="22"/>
        </w:rPr>
        <w:t>At least a CGPA of 4.00 in 1 of M.Phil. coursework courses at the end of the stipulated minimum duration for the M. Phil. programme.</w:t>
      </w:r>
    </w:p>
    <w:p w14:paraId="26C57B57" w14:textId="77777777" w:rsidR="00190C2C" w:rsidRPr="007F163A" w:rsidRDefault="00190C2C" w:rsidP="00190C2C">
      <w:pPr>
        <w:contextualSpacing/>
        <w:jc w:val="both"/>
        <w:rPr>
          <w:sz w:val="22"/>
          <w:szCs w:val="22"/>
        </w:rPr>
      </w:pPr>
    </w:p>
    <w:p w14:paraId="0119826A" w14:textId="77777777" w:rsidR="00190C2C" w:rsidRPr="007F163A" w:rsidRDefault="00190C2C" w:rsidP="00190C2C">
      <w:pPr>
        <w:numPr>
          <w:ilvl w:val="0"/>
          <w:numId w:val="3"/>
        </w:numPr>
        <w:ind w:left="426" w:hanging="426"/>
        <w:contextualSpacing/>
        <w:jc w:val="both"/>
        <w:rPr>
          <w:sz w:val="22"/>
          <w:szCs w:val="22"/>
        </w:rPr>
      </w:pPr>
      <w:r w:rsidRPr="007F163A">
        <w:rPr>
          <w:sz w:val="22"/>
          <w:szCs w:val="22"/>
        </w:rPr>
        <w:t>All candidates in the aforementioned three categories shall be subjected to a selection process by the center involving proposal writing and an oral interview.</w:t>
      </w:r>
    </w:p>
    <w:p w14:paraId="4AACCCC3" w14:textId="77777777" w:rsidR="00190C2C" w:rsidRPr="007F163A" w:rsidRDefault="00190C2C" w:rsidP="00190C2C">
      <w:pPr>
        <w:numPr>
          <w:ilvl w:val="0"/>
          <w:numId w:val="3"/>
        </w:numPr>
        <w:ind w:left="426" w:hanging="426"/>
        <w:contextualSpacing/>
        <w:jc w:val="both"/>
        <w:rPr>
          <w:sz w:val="22"/>
          <w:szCs w:val="22"/>
        </w:rPr>
      </w:pPr>
      <w:r w:rsidRPr="007F163A">
        <w:rPr>
          <w:sz w:val="22"/>
          <w:szCs w:val="22"/>
        </w:rPr>
        <w:t xml:space="preserve">Satisfy all other requirements of the School of Postgraduate Studies. </w:t>
      </w:r>
    </w:p>
    <w:p w14:paraId="62382DC7" w14:textId="77777777" w:rsidR="00190C2C" w:rsidRPr="007F163A" w:rsidRDefault="00190C2C" w:rsidP="00190C2C">
      <w:pPr>
        <w:jc w:val="both"/>
        <w:rPr>
          <w:b/>
          <w:sz w:val="22"/>
          <w:szCs w:val="22"/>
        </w:rPr>
      </w:pPr>
    </w:p>
    <w:p w14:paraId="204127E7" w14:textId="2D461678" w:rsidR="00190C2C" w:rsidRDefault="00190C2C" w:rsidP="00190C2C">
      <w:pPr>
        <w:pStyle w:val="Heading3"/>
        <w:numPr>
          <w:ilvl w:val="0"/>
          <w:numId w:val="0"/>
        </w:numPr>
        <w:ind w:firstLine="426"/>
        <w:rPr>
          <w:sz w:val="22"/>
          <w:szCs w:val="24"/>
        </w:rPr>
      </w:pPr>
      <w:bookmarkStart w:id="5" w:name="_Toc97749117"/>
      <w:bookmarkStart w:id="6" w:name="_Toc102415944"/>
      <w:r w:rsidRPr="007F163A">
        <w:rPr>
          <w:b/>
          <w:bCs w:val="0"/>
          <w:sz w:val="22"/>
          <w:szCs w:val="24"/>
        </w:rPr>
        <w:t>Duration for Ph.D.</w:t>
      </w:r>
      <w:bookmarkEnd w:id="5"/>
      <w:bookmarkEnd w:id="6"/>
      <w:r w:rsidRPr="007F163A">
        <w:rPr>
          <w:sz w:val="22"/>
          <w:szCs w:val="24"/>
        </w:rPr>
        <w:t xml:space="preserve"> </w:t>
      </w:r>
    </w:p>
    <w:p w14:paraId="7EA47F03" w14:textId="77777777" w:rsidR="00190C2C" w:rsidRPr="00EC56EF" w:rsidRDefault="00190C2C" w:rsidP="00190C2C"/>
    <w:p w14:paraId="07A99BD7" w14:textId="77777777" w:rsidR="00190C2C" w:rsidRPr="007F163A" w:rsidRDefault="00190C2C" w:rsidP="00190C2C">
      <w:pPr>
        <w:jc w:val="both"/>
        <w:rPr>
          <w:sz w:val="22"/>
          <w:szCs w:val="22"/>
        </w:rPr>
      </w:pPr>
      <w:r w:rsidRPr="007F163A">
        <w:rPr>
          <w:sz w:val="22"/>
          <w:szCs w:val="22"/>
        </w:rPr>
        <w:t xml:space="preserve">Those with Master Degree will have a minimum duration for a full time programme is six (6) semesters while the maximum duration is ten (10) semesters.   Those who converted from M.Phil to Ph.D. will have a minimum of six (6) semesters and a maximum of ten (10) semesters to run a full time programme. </w:t>
      </w:r>
    </w:p>
    <w:p w14:paraId="10CC436D" w14:textId="77777777" w:rsidR="00190C2C" w:rsidRPr="007F163A" w:rsidRDefault="00190C2C" w:rsidP="00190C2C">
      <w:pPr>
        <w:pStyle w:val="ListParagraph"/>
        <w:ind w:left="0"/>
        <w:jc w:val="both"/>
        <w:rPr>
          <w:sz w:val="22"/>
          <w:szCs w:val="22"/>
        </w:rPr>
      </w:pPr>
    </w:p>
    <w:p w14:paraId="0743688B" w14:textId="74D8D71A" w:rsidR="00190C2C" w:rsidRDefault="00190C2C" w:rsidP="00190C2C">
      <w:pPr>
        <w:pStyle w:val="Heading3"/>
        <w:numPr>
          <w:ilvl w:val="0"/>
          <w:numId w:val="0"/>
        </w:numPr>
        <w:ind w:firstLine="720"/>
        <w:rPr>
          <w:b/>
          <w:bCs w:val="0"/>
          <w:sz w:val="22"/>
          <w:szCs w:val="24"/>
        </w:rPr>
      </w:pPr>
      <w:bookmarkStart w:id="7" w:name="_Toc97749118"/>
      <w:bookmarkStart w:id="8" w:name="_Toc102415945"/>
      <w:r w:rsidRPr="007F163A">
        <w:rPr>
          <w:b/>
          <w:bCs w:val="0"/>
          <w:sz w:val="22"/>
          <w:szCs w:val="24"/>
        </w:rPr>
        <w:t>Graduation Requirement</w:t>
      </w:r>
      <w:bookmarkEnd w:id="7"/>
      <w:bookmarkEnd w:id="8"/>
    </w:p>
    <w:p w14:paraId="400E5BF6" w14:textId="77777777" w:rsidR="00190C2C" w:rsidRPr="00EC56EF" w:rsidRDefault="00190C2C" w:rsidP="00190C2C"/>
    <w:p w14:paraId="01EAC071" w14:textId="77777777" w:rsidR="00190C2C" w:rsidRPr="007F163A" w:rsidRDefault="00190C2C" w:rsidP="00190C2C">
      <w:pPr>
        <w:jc w:val="both"/>
        <w:rPr>
          <w:sz w:val="22"/>
          <w:szCs w:val="22"/>
        </w:rPr>
      </w:pPr>
      <w:r w:rsidRPr="007F163A">
        <w:rPr>
          <w:sz w:val="22"/>
          <w:szCs w:val="22"/>
        </w:rPr>
        <w:t>A.  A candidate admitted with an M. Sc. Degree (herein referred to as regular candidate) shall carry a minimum workload of 30 units which must include the following:</w:t>
      </w:r>
    </w:p>
    <w:p w14:paraId="25E55AE3" w14:textId="77777777" w:rsidR="00190C2C" w:rsidRPr="00EC56EF" w:rsidRDefault="00190C2C" w:rsidP="00190C2C">
      <w:pPr>
        <w:numPr>
          <w:ilvl w:val="0"/>
          <w:numId w:val="7"/>
        </w:numPr>
        <w:ind w:left="709" w:hanging="142"/>
        <w:contextualSpacing/>
        <w:jc w:val="both"/>
        <w:rPr>
          <w:sz w:val="22"/>
          <w:szCs w:val="22"/>
        </w:rPr>
      </w:pPr>
      <w:r w:rsidRPr="007F163A">
        <w:rPr>
          <w:sz w:val="22"/>
          <w:szCs w:val="22"/>
        </w:rPr>
        <w:t xml:space="preserve"> </w:t>
      </w:r>
      <w:r w:rsidRPr="00EC56EF">
        <w:rPr>
          <w:sz w:val="22"/>
          <w:szCs w:val="22"/>
        </w:rPr>
        <w:t xml:space="preserve">6 units of elective M.Phil. Coursework </w:t>
      </w:r>
    </w:p>
    <w:p w14:paraId="6ADC73E8" w14:textId="77777777" w:rsidR="00190C2C" w:rsidRPr="00EC56EF" w:rsidRDefault="00190C2C" w:rsidP="00190C2C">
      <w:pPr>
        <w:numPr>
          <w:ilvl w:val="0"/>
          <w:numId w:val="7"/>
        </w:numPr>
        <w:ind w:left="709" w:hanging="142"/>
        <w:contextualSpacing/>
        <w:jc w:val="both"/>
        <w:rPr>
          <w:sz w:val="22"/>
          <w:szCs w:val="22"/>
        </w:rPr>
      </w:pPr>
      <w:r w:rsidRPr="00EC56EF">
        <w:rPr>
          <w:sz w:val="22"/>
          <w:szCs w:val="22"/>
        </w:rPr>
        <w:t>6 units Ph.D. Term papers</w:t>
      </w:r>
    </w:p>
    <w:p w14:paraId="26577A07" w14:textId="77777777" w:rsidR="00190C2C" w:rsidRPr="00EC56EF" w:rsidRDefault="00190C2C" w:rsidP="00190C2C">
      <w:pPr>
        <w:numPr>
          <w:ilvl w:val="0"/>
          <w:numId w:val="7"/>
        </w:numPr>
        <w:ind w:left="709" w:hanging="142"/>
        <w:contextualSpacing/>
        <w:jc w:val="both"/>
        <w:rPr>
          <w:sz w:val="22"/>
          <w:szCs w:val="22"/>
        </w:rPr>
      </w:pPr>
      <w:r w:rsidRPr="00EC56EF">
        <w:rPr>
          <w:sz w:val="22"/>
          <w:szCs w:val="22"/>
        </w:rPr>
        <w:t>6 units of Research Seminars</w:t>
      </w:r>
      <w:r w:rsidRPr="00EC56EF">
        <w:rPr>
          <w:sz w:val="22"/>
          <w:szCs w:val="22"/>
        </w:rPr>
        <w:tab/>
      </w:r>
    </w:p>
    <w:p w14:paraId="04F12401" w14:textId="77777777" w:rsidR="00190C2C" w:rsidRPr="00EC56EF" w:rsidRDefault="00190C2C" w:rsidP="00190C2C">
      <w:pPr>
        <w:numPr>
          <w:ilvl w:val="0"/>
          <w:numId w:val="7"/>
        </w:numPr>
        <w:ind w:left="709" w:hanging="142"/>
        <w:contextualSpacing/>
        <w:jc w:val="both"/>
        <w:rPr>
          <w:sz w:val="22"/>
          <w:szCs w:val="22"/>
        </w:rPr>
      </w:pPr>
      <w:r w:rsidRPr="00EC56EF">
        <w:rPr>
          <w:sz w:val="22"/>
          <w:szCs w:val="22"/>
        </w:rPr>
        <w:t>12 units of Research Thesis</w:t>
      </w:r>
      <w:r w:rsidRPr="00EC56EF">
        <w:rPr>
          <w:sz w:val="22"/>
          <w:szCs w:val="22"/>
        </w:rPr>
        <w:tab/>
        <w:t xml:space="preserve">                </w:t>
      </w:r>
    </w:p>
    <w:p w14:paraId="31FEFC74" w14:textId="77777777" w:rsidR="00190C2C" w:rsidRPr="007F163A" w:rsidRDefault="00190C2C" w:rsidP="00190C2C">
      <w:pPr>
        <w:ind w:left="709"/>
        <w:contextualSpacing/>
        <w:jc w:val="both"/>
        <w:rPr>
          <w:sz w:val="22"/>
          <w:szCs w:val="22"/>
        </w:rPr>
      </w:pPr>
    </w:p>
    <w:p w14:paraId="1E27A990" w14:textId="77777777" w:rsidR="00190C2C" w:rsidRPr="007F163A" w:rsidRDefault="00190C2C" w:rsidP="00190C2C">
      <w:pPr>
        <w:jc w:val="both"/>
        <w:rPr>
          <w:sz w:val="22"/>
          <w:szCs w:val="22"/>
        </w:rPr>
      </w:pPr>
      <w:r w:rsidRPr="007F163A">
        <w:rPr>
          <w:sz w:val="22"/>
          <w:szCs w:val="22"/>
        </w:rPr>
        <w:t>B.  A student admitted into the Ph.D. programme via M. Phil. conversion or M. Phil. degree shall carry a minimum workload of 2 made up as follows:</w:t>
      </w:r>
    </w:p>
    <w:p w14:paraId="72A0AE5C" w14:textId="77777777" w:rsidR="00190C2C" w:rsidRPr="00EC56EF" w:rsidRDefault="00190C2C" w:rsidP="00190C2C">
      <w:pPr>
        <w:numPr>
          <w:ilvl w:val="0"/>
          <w:numId w:val="5"/>
        </w:numPr>
        <w:ind w:left="709" w:hanging="283"/>
        <w:contextualSpacing/>
        <w:jc w:val="both"/>
        <w:rPr>
          <w:sz w:val="22"/>
          <w:szCs w:val="22"/>
        </w:rPr>
      </w:pPr>
      <w:r w:rsidRPr="007F163A">
        <w:rPr>
          <w:sz w:val="22"/>
          <w:szCs w:val="22"/>
        </w:rPr>
        <w:t xml:space="preserve"> </w:t>
      </w:r>
      <w:r w:rsidRPr="00EC56EF">
        <w:rPr>
          <w:sz w:val="22"/>
          <w:szCs w:val="22"/>
        </w:rPr>
        <w:t>6 Units Ph.D. Term papers</w:t>
      </w:r>
    </w:p>
    <w:p w14:paraId="194DF057" w14:textId="77777777" w:rsidR="00190C2C" w:rsidRPr="00EC56EF" w:rsidRDefault="00190C2C" w:rsidP="00190C2C">
      <w:pPr>
        <w:numPr>
          <w:ilvl w:val="0"/>
          <w:numId w:val="5"/>
        </w:numPr>
        <w:ind w:left="709" w:hanging="283"/>
        <w:contextualSpacing/>
        <w:jc w:val="both"/>
        <w:rPr>
          <w:sz w:val="22"/>
          <w:szCs w:val="22"/>
        </w:rPr>
      </w:pPr>
      <w:r w:rsidRPr="00EC56EF">
        <w:rPr>
          <w:sz w:val="22"/>
          <w:szCs w:val="22"/>
        </w:rPr>
        <w:t>6 Units of Research Seminars</w:t>
      </w:r>
      <w:r w:rsidRPr="00EC56EF">
        <w:rPr>
          <w:sz w:val="22"/>
          <w:szCs w:val="22"/>
        </w:rPr>
        <w:tab/>
      </w:r>
    </w:p>
    <w:p w14:paraId="5E0A0941" w14:textId="77777777" w:rsidR="00190C2C" w:rsidRPr="00EC56EF" w:rsidRDefault="00190C2C" w:rsidP="00190C2C">
      <w:pPr>
        <w:numPr>
          <w:ilvl w:val="0"/>
          <w:numId w:val="5"/>
        </w:numPr>
        <w:ind w:left="709" w:hanging="283"/>
        <w:contextualSpacing/>
        <w:jc w:val="both"/>
        <w:rPr>
          <w:sz w:val="22"/>
          <w:szCs w:val="22"/>
        </w:rPr>
      </w:pPr>
      <w:r w:rsidRPr="00EC56EF">
        <w:rPr>
          <w:sz w:val="22"/>
          <w:szCs w:val="22"/>
        </w:rPr>
        <w:t>12 Units of Research Thesis</w:t>
      </w:r>
    </w:p>
    <w:p w14:paraId="4211DFAD" w14:textId="77777777" w:rsidR="00190C2C" w:rsidRPr="007F163A" w:rsidRDefault="00190C2C" w:rsidP="00190C2C">
      <w:pPr>
        <w:contextualSpacing/>
        <w:jc w:val="both"/>
        <w:rPr>
          <w:b/>
        </w:rPr>
      </w:pPr>
    </w:p>
    <w:p w14:paraId="42BEBA40" w14:textId="3DC0F4A9" w:rsidR="00190C2C" w:rsidRPr="007F163A" w:rsidRDefault="00190C2C" w:rsidP="00190C2C">
      <w:pPr>
        <w:pStyle w:val="Heading3"/>
        <w:numPr>
          <w:ilvl w:val="0"/>
          <w:numId w:val="0"/>
        </w:numPr>
        <w:rPr>
          <w:sz w:val="22"/>
          <w:szCs w:val="24"/>
        </w:rPr>
      </w:pPr>
      <w:bookmarkStart w:id="9" w:name="_Toc97749119"/>
      <w:bookmarkStart w:id="10" w:name="_Toc102415946"/>
      <w:r w:rsidRPr="007F163A">
        <w:rPr>
          <w:b/>
          <w:bCs w:val="0"/>
          <w:sz w:val="22"/>
          <w:szCs w:val="24"/>
        </w:rPr>
        <w:t>List of Courses for Ph.D. in Regulatory Science</w:t>
      </w:r>
      <w:bookmarkEnd w:id="9"/>
      <w:bookmarkEnd w:id="10"/>
    </w:p>
    <w:p w14:paraId="29FC1141" w14:textId="77777777" w:rsidR="00190C2C" w:rsidRPr="007F163A" w:rsidRDefault="00190C2C" w:rsidP="00190C2C">
      <w:pPr>
        <w:jc w:val="both"/>
        <w:rPr>
          <w:sz w:val="22"/>
          <w:szCs w:val="22"/>
        </w:rPr>
      </w:pPr>
    </w:p>
    <w:tbl>
      <w:tblPr>
        <w:tblW w:w="0" w:type="auto"/>
        <w:jc w:val="center"/>
        <w:tblLook w:val="04A0" w:firstRow="1" w:lastRow="0" w:firstColumn="1" w:lastColumn="0" w:noHBand="0" w:noVBand="1"/>
      </w:tblPr>
      <w:tblGrid>
        <w:gridCol w:w="1359"/>
        <w:gridCol w:w="4343"/>
        <w:gridCol w:w="1286"/>
        <w:gridCol w:w="788"/>
      </w:tblGrid>
      <w:tr w:rsidR="00190C2C" w:rsidRPr="007F163A" w14:paraId="32111A9E" w14:textId="77777777" w:rsidTr="007B0EAA">
        <w:trPr>
          <w:jc w:val="center"/>
        </w:trPr>
        <w:tc>
          <w:tcPr>
            <w:tcW w:w="0" w:type="auto"/>
            <w:tcBorders>
              <w:top w:val="single" w:sz="4" w:space="0" w:color="auto"/>
              <w:left w:val="single" w:sz="4" w:space="0" w:color="auto"/>
              <w:bottom w:val="single" w:sz="4" w:space="0" w:color="auto"/>
              <w:right w:val="single" w:sz="4" w:space="0" w:color="auto"/>
            </w:tcBorders>
            <w:hideMark/>
          </w:tcPr>
          <w:p w14:paraId="462EA296" w14:textId="77777777" w:rsidR="00190C2C" w:rsidRPr="007F163A" w:rsidRDefault="00190C2C" w:rsidP="007B0EAA">
            <w:pPr>
              <w:jc w:val="both"/>
              <w:rPr>
                <w:b/>
                <w:sz w:val="22"/>
                <w:szCs w:val="22"/>
              </w:rPr>
            </w:pPr>
            <w:r w:rsidRPr="007F163A">
              <w:rPr>
                <w:b/>
                <w:sz w:val="22"/>
                <w:szCs w:val="22"/>
              </w:rPr>
              <w:t>Course Code</w:t>
            </w:r>
          </w:p>
        </w:tc>
        <w:tc>
          <w:tcPr>
            <w:tcW w:w="0" w:type="auto"/>
            <w:tcBorders>
              <w:top w:val="single" w:sz="4" w:space="0" w:color="auto"/>
              <w:left w:val="single" w:sz="4" w:space="0" w:color="auto"/>
              <w:bottom w:val="single" w:sz="4" w:space="0" w:color="auto"/>
              <w:right w:val="single" w:sz="4" w:space="0" w:color="auto"/>
            </w:tcBorders>
            <w:hideMark/>
          </w:tcPr>
          <w:p w14:paraId="06202246" w14:textId="77777777" w:rsidR="00190C2C" w:rsidRPr="007F163A" w:rsidRDefault="00190C2C" w:rsidP="007B0EAA">
            <w:pPr>
              <w:jc w:val="both"/>
              <w:rPr>
                <w:b/>
                <w:sz w:val="22"/>
                <w:szCs w:val="22"/>
              </w:rPr>
            </w:pPr>
            <w:r w:rsidRPr="007F163A">
              <w:rPr>
                <w:b/>
                <w:sz w:val="22"/>
                <w:szCs w:val="22"/>
              </w:rPr>
              <w:t>Course Title</w:t>
            </w:r>
          </w:p>
        </w:tc>
        <w:tc>
          <w:tcPr>
            <w:tcW w:w="0" w:type="auto"/>
            <w:tcBorders>
              <w:top w:val="single" w:sz="4" w:space="0" w:color="auto"/>
              <w:left w:val="single" w:sz="4" w:space="0" w:color="auto"/>
              <w:bottom w:val="single" w:sz="4" w:space="0" w:color="auto"/>
              <w:right w:val="single" w:sz="4" w:space="0" w:color="auto"/>
            </w:tcBorders>
          </w:tcPr>
          <w:p w14:paraId="19CF7960" w14:textId="77777777" w:rsidR="00190C2C" w:rsidRPr="007F163A" w:rsidRDefault="00190C2C" w:rsidP="007B0EAA">
            <w:pPr>
              <w:jc w:val="center"/>
              <w:rPr>
                <w:b/>
                <w:sz w:val="22"/>
                <w:szCs w:val="22"/>
              </w:rPr>
            </w:pPr>
            <w:r w:rsidRPr="007F163A">
              <w:rPr>
                <w:b/>
                <w:sz w:val="22"/>
                <w:szCs w:val="22"/>
              </w:rPr>
              <w:t>Status</w:t>
            </w:r>
          </w:p>
        </w:tc>
        <w:tc>
          <w:tcPr>
            <w:tcW w:w="0" w:type="auto"/>
            <w:tcBorders>
              <w:top w:val="single" w:sz="4" w:space="0" w:color="auto"/>
              <w:left w:val="single" w:sz="4" w:space="0" w:color="auto"/>
              <w:bottom w:val="single" w:sz="4" w:space="0" w:color="auto"/>
              <w:right w:val="single" w:sz="4" w:space="0" w:color="auto"/>
            </w:tcBorders>
            <w:hideMark/>
          </w:tcPr>
          <w:p w14:paraId="47701637" w14:textId="77777777" w:rsidR="00190C2C" w:rsidRPr="007F163A" w:rsidRDefault="00190C2C" w:rsidP="007B0EAA">
            <w:pPr>
              <w:jc w:val="center"/>
              <w:rPr>
                <w:b/>
                <w:sz w:val="22"/>
                <w:szCs w:val="22"/>
              </w:rPr>
            </w:pPr>
            <w:r w:rsidRPr="007F163A">
              <w:rPr>
                <w:b/>
                <w:sz w:val="22"/>
                <w:szCs w:val="22"/>
              </w:rPr>
              <w:t>Units</w:t>
            </w:r>
          </w:p>
        </w:tc>
      </w:tr>
      <w:tr w:rsidR="00190C2C" w:rsidRPr="007F163A" w14:paraId="6482D3A3" w14:textId="77777777" w:rsidTr="007B0EAA">
        <w:trPr>
          <w:jc w:val="center"/>
        </w:trPr>
        <w:tc>
          <w:tcPr>
            <w:tcW w:w="0" w:type="auto"/>
            <w:tcBorders>
              <w:top w:val="single" w:sz="4" w:space="0" w:color="auto"/>
              <w:left w:val="single" w:sz="4" w:space="0" w:color="auto"/>
              <w:bottom w:val="single" w:sz="4" w:space="0" w:color="auto"/>
              <w:right w:val="single" w:sz="4" w:space="0" w:color="auto"/>
            </w:tcBorders>
            <w:hideMark/>
          </w:tcPr>
          <w:p w14:paraId="5536E2AF" w14:textId="77777777" w:rsidR="00190C2C" w:rsidRPr="007F163A" w:rsidRDefault="00190C2C" w:rsidP="007B0EAA">
            <w:pPr>
              <w:jc w:val="both"/>
              <w:rPr>
                <w:sz w:val="22"/>
                <w:szCs w:val="22"/>
              </w:rPr>
            </w:pPr>
            <w:r w:rsidRPr="007F163A">
              <w:rPr>
                <w:sz w:val="22"/>
                <w:szCs w:val="22"/>
              </w:rPr>
              <w:t>RSC 951</w:t>
            </w:r>
          </w:p>
        </w:tc>
        <w:tc>
          <w:tcPr>
            <w:tcW w:w="0" w:type="auto"/>
            <w:tcBorders>
              <w:top w:val="single" w:sz="4" w:space="0" w:color="auto"/>
              <w:left w:val="single" w:sz="4" w:space="0" w:color="auto"/>
              <w:bottom w:val="single" w:sz="4" w:space="0" w:color="auto"/>
              <w:right w:val="single" w:sz="4" w:space="0" w:color="auto"/>
            </w:tcBorders>
          </w:tcPr>
          <w:p w14:paraId="35A331C3" w14:textId="77777777" w:rsidR="00190C2C" w:rsidRPr="007F163A" w:rsidRDefault="00190C2C" w:rsidP="007B0EAA">
            <w:pPr>
              <w:jc w:val="both"/>
              <w:rPr>
                <w:sz w:val="22"/>
                <w:szCs w:val="22"/>
              </w:rPr>
            </w:pPr>
            <w:r w:rsidRPr="007F163A">
              <w:rPr>
                <w:sz w:val="22"/>
                <w:szCs w:val="22"/>
              </w:rPr>
              <w:t xml:space="preserve">Translational Medicine: An Overview </w:t>
            </w:r>
          </w:p>
          <w:p w14:paraId="50B8C5AE" w14:textId="77777777" w:rsidR="00190C2C" w:rsidRPr="007F163A" w:rsidRDefault="00190C2C" w:rsidP="007B0EAA">
            <w:pPr>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Pr>
          <w:p w14:paraId="5B8474C2" w14:textId="77777777" w:rsidR="00190C2C" w:rsidRPr="007F163A" w:rsidRDefault="00190C2C" w:rsidP="007B0EAA">
            <w:pPr>
              <w:jc w:val="center"/>
              <w:rPr>
                <w:sz w:val="22"/>
                <w:szCs w:val="22"/>
              </w:rPr>
            </w:pPr>
            <w:r w:rsidRPr="007F163A">
              <w:rPr>
                <w:sz w:val="22"/>
                <w:szCs w:val="22"/>
              </w:rPr>
              <w:t>Compulsory</w:t>
            </w:r>
          </w:p>
        </w:tc>
        <w:tc>
          <w:tcPr>
            <w:tcW w:w="0" w:type="auto"/>
            <w:tcBorders>
              <w:top w:val="single" w:sz="4" w:space="0" w:color="auto"/>
              <w:left w:val="single" w:sz="4" w:space="0" w:color="auto"/>
              <w:bottom w:val="single" w:sz="4" w:space="0" w:color="auto"/>
              <w:right w:val="single" w:sz="4" w:space="0" w:color="auto"/>
            </w:tcBorders>
            <w:hideMark/>
          </w:tcPr>
          <w:p w14:paraId="03801A6F" w14:textId="77777777" w:rsidR="00190C2C" w:rsidRPr="007F163A" w:rsidRDefault="00190C2C" w:rsidP="007B0EAA">
            <w:pPr>
              <w:jc w:val="center"/>
              <w:rPr>
                <w:sz w:val="22"/>
                <w:szCs w:val="22"/>
              </w:rPr>
            </w:pPr>
            <w:r w:rsidRPr="007F163A">
              <w:rPr>
                <w:sz w:val="22"/>
                <w:szCs w:val="22"/>
              </w:rPr>
              <w:t>2</w:t>
            </w:r>
          </w:p>
        </w:tc>
      </w:tr>
      <w:tr w:rsidR="00190C2C" w:rsidRPr="007F163A" w14:paraId="7EA284BF" w14:textId="77777777" w:rsidTr="007B0EAA">
        <w:trPr>
          <w:jc w:val="center"/>
        </w:trPr>
        <w:tc>
          <w:tcPr>
            <w:tcW w:w="0" w:type="auto"/>
            <w:tcBorders>
              <w:top w:val="single" w:sz="4" w:space="0" w:color="auto"/>
              <w:left w:val="single" w:sz="4" w:space="0" w:color="auto"/>
              <w:bottom w:val="single" w:sz="4" w:space="0" w:color="auto"/>
              <w:right w:val="single" w:sz="4" w:space="0" w:color="auto"/>
            </w:tcBorders>
            <w:hideMark/>
          </w:tcPr>
          <w:p w14:paraId="09FE00B7" w14:textId="77777777" w:rsidR="00190C2C" w:rsidRPr="007F163A" w:rsidRDefault="00190C2C" w:rsidP="007B0EAA">
            <w:pPr>
              <w:jc w:val="both"/>
              <w:rPr>
                <w:sz w:val="22"/>
                <w:szCs w:val="22"/>
              </w:rPr>
            </w:pPr>
            <w:r w:rsidRPr="007F163A">
              <w:rPr>
                <w:sz w:val="22"/>
                <w:szCs w:val="22"/>
              </w:rPr>
              <w:t>RSC 952</w:t>
            </w:r>
          </w:p>
        </w:tc>
        <w:tc>
          <w:tcPr>
            <w:tcW w:w="0" w:type="auto"/>
            <w:tcBorders>
              <w:top w:val="single" w:sz="4" w:space="0" w:color="auto"/>
              <w:left w:val="single" w:sz="4" w:space="0" w:color="auto"/>
              <w:bottom w:val="single" w:sz="4" w:space="0" w:color="auto"/>
              <w:right w:val="single" w:sz="4" w:space="0" w:color="auto"/>
            </w:tcBorders>
          </w:tcPr>
          <w:p w14:paraId="706E208E" w14:textId="77777777" w:rsidR="00190C2C" w:rsidRPr="007F163A" w:rsidRDefault="00190C2C" w:rsidP="007B0EAA">
            <w:pPr>
              <w:jc w:val="both"/>
              <w:rPr>
                <w:sz w:val="22"/>
                <w:szCs w:val="22"/>
              </w:rPr>
            </w:pPr>
            <w:r w:rsidRPr="007F163A">
              <w:rPr>
                <w:sz w:val="22"/>
                <w:szCs w:val="22"/>
              </w:rPr>
              <w:t>Validation Requirements for Medical Products</w:t>
            </w:r>
          </w:p>
        </w:tc>
        <w:tc>
          <w:tcPr>
            <w:tcW w:w="0" w:type="auto"/>
            <w:tcBorders>
              <w:top w:val="single" w:sz="4" w:space="0" w:color="auto"/>
              <w:left w:val="single" w:sz="4" w:space="0" w:color="auto"/>
              <w:bottom w:val="single" w:sz="4" w:space="0" w:color="auto"/>
              <w:right w:val="single" w:sz="4" w:space="0" w:color="auto"/>
            </w:tcBorders>
          </w:tcPr>
          <w:p w14:paraId="4BE3CAA4" w14:textId="77777777" w:rsidR="00190C2C" w:rsidRPr="007F163A" w:rsidRDefault="00190C2C" w:rsidP="007B0EAA">
            <w:pPr>
              <w:jc w:val="center"/>
              <w:rPr>
                <w:sz w:val="22"/>
                <w:szCs w:val="22"/>
              </w:rPr>
            </w:pPr>
            <w:r w:rsidRPr="007F163A">
              <w:rPr>
                <w:sz w:val="22"/>
                <w:szCs w:val="22"/>
              </w:rPr>
              <w:t>Compulsory</w:t>
            </w:r>
          </w:p>
        </w:tc>
        <w:tc>
          <w:tcPr>
            <w:tcW w:w="0" w:type="auto"/>
            <w:tcBorders>
              <w:top w:val="single" w:sz="4" w:space="0" w:color="auto"/>
              <w:left w:val="single" w:sz="4" w:space="0" w:color="auto"/>
              <w:bottom w:val="single" w:sz="4" w:space="0" w:color="auto"/>
              <w:right w:val="single" w:sz="4" w:space="0" w:color="auto"/>
            </w:tcBorders>
            <w:hideMark/>
          </w:tcPr>
          <w:p w14:paraId="7CE1D482" w14:textId="77777777" w:rsidR="00190C2C" w:rsidRPr="007F163A" w:rsidRDefault="00190C2C" w:rsidP="007B0EAA">
            <w:pPr>
              <w:jc w:val="center"/>
              <w:rPr>
                <w:sz w:val="22"/>
                <w:szCs w:val="22"/>
              </w:rPr>
            </w:pPr>
            <w:r w:rsidRPr="007F163A">
              <w:rPr>
                <w:sz w:val="22"/>
                <w:szCs w:val="22"/>
              </w:rPr>
              <w:t>2</w:t>
            </w:r>
          </w:p>
        </w:tc>
      </w:tr>
      <w:tr w:rsidR="00190C2C" w:rsidRPr="007F163A" w14:paraId="1F0F4324" w14:textId="77777777" w:rsidTr="007B0EAA">
        <w:trPr>
          <w:jc w:val="center"/>
        </w:trPr>
        <w:tc>
          <w:tcPr>
            <w:tcW w:w="0" w:type="auto"/>
            <w:tcBorders>
              <w:top w:val="single" w:sz="4" w:space="0" w:color="auto"/>
              <w:left w:val="single" w:sz="4" w:space="0" w:color="auto"/>
              <w:bottom w:val="single" w:sz="4" w:space="0" w:color="auto"/>
              <w:right w:val="single" w:sz="4" w:space="0" w:color="auto"/>
            </w:tcBorders>
            <w:hideMark/>
          </w:tcPr>
          <w:p w14:paraId="3BCB879A" w14:textId="77777777" w:rsidR="00190C2C" w:rsidRPr="007F163A" w:rsidRDefault="00190C2C" w:rsidP="007B0EAA">
            <w:pPr>
              <w:jc w:val="both"/>
              <w:rPr>
                <w:sz w:val="22"/>
                <w:szCs w:val="22"/>
              </w:rPr>
            </w:pPr>
            <w:r w:rsidRPr="007F163A">
              <w:rPr>
                <w:sz w:val="22"/>
                <w:szCs w:val="22"/>
              </w:rPr>
              <w:t>RSC 953</w:t>
            </w:r>
          </w:p>
        </w:tc>
        <w:tc>
          <w:tcPr>
            <w:tcW w:w="0" w:type="auto"/>
            <w:tcBorders>
              <w:top w:val="single" w:sz="4" w:space="0" w:color="auto"/>
              <w:left w:val="single" w:sz="4" w:space="0" w:color="auto"/>
              <w:bottom w:val="single" w:sz="4" w:space="0" w:color="auto"/>
              <w:right w:val="single" w:sz="4" w:space="0" w:color="auto"/>
            </w:tcBorders>
          </w:tcPr>
          <w:p w14:paraId="0A1DEE4C" w14:textId="77777777" w:rsidR="00190C2C" w:rsidRPr="007F163A" w:rsidRDefault="00190C2C" w:rsidP="007B0EAA">
            <w:pPr>
              <w:jc w:val="both"/>
              <w:rPr>
                <w:sz w:val="22"/>
                <w:szCs w:val="22"/>
              </w:rPr>
            </w:pPr>
            <w:r w:rsidRPr="007F163A">
              <w:rPr>
                <w:sz w:val="22"/>
                <w:szCs w:val="22"/>
              </w:rPr>
              <w:t>Approaches to Drug Discovery</w:t>
            </w:r>
          </w:p>
        </w:tc>
        <w:tc>
          <w:tcPr>
            <w:tcW w:w="0" w:type="auto"/>
            <w:tcBorders>
              <w:top w:val="single" w:sz="4" w:space="0" w:color="auto"/>
              <w:left w:val="single" w:sz="4" w:space="0" w:color="auto"/>
              <w:bottom w:val="single" w:sz="4" w:space="0" w:color="auto"/>
              <w:right w:val="single" w:sz="4" w:space="0" w:color="auto"/>
            </w:tcBorders>
          </w:tcPr>
          <w:p w14:paraId="394B9ACC" w14:textId="77777777" w:rsidR="00190C2C" w:rsidRPr="007F163A" w:rsidRDefault="00190C2C" w:rsidP="007B0EAA">
            <w:pPr>
              <w:jc w:val="center"/>
              <w:rPr>
                <w:sz w:val="22"/>
                <w:szCs w:val="22"/>
              </w:rPr>
            </w:pPr>
            <w:r w:rsidRPr="007F163A">
              <w:rPr>
                <w:sz w:val="22"/>
                <w:szCs w:val="22"/>
              </w:rPr>
              <w:t>Compulsory</w:t>
            </w:r>
          </w:p>
        </w:tc>
        <w:tc>
          <w:tcPr>
            <w:tcW w:w="0" w:type="auto"/>
            <w:tcBorders>
              <w:top w:val="single" w:sz="4" w:space="0" w:color="auto"/>
              <w:left w:val="single" w:sz="4" w:space="0" w:color="auto"/>
              <w:bottom w:val="single" w:sz="4" w:space="0" w:color="auto"/>
              <w:right w:val="single" w:sz="4" w:space="0" w:color="auto"/>
            </w:tcBorders>
            <w:hideMark/>
          </w:tcPr>
          <w:p w14:paraId="247E5F00" w14:textId="77777777" w:rsidR="00190C2C" w:rsidRPr="007F163A" w:rsidRDefault="00190C2C" w:rsidP="007B0EAA">
            <w:pPr>
              <w:jc w:val="center"/>
              <w:rPr>
                <w:sz w:val="22"/>
                <w:szCs w:val="22"/>
              </w:rPr>
            </w:pPr>
            <w:r w:rsidRPr="007F163A">
              <w:rPr>
                <w:sz w:val="22"/>
                <w:szCs w:val="22"/>
              </w:rPr>
              <w:t>2</w:t>
            </w:r>
          </w:p>
        </w:tc>
      </w:tr>
      <w:tr w:rsidR="00190C2C" w:rsidRPr="007F163A" w14:paraId="16E12724" w14:textId="77777777" w:rsidTr="007B0EAA">
        <w:trPr>
          <w:jc w:val="center"/>
        </w:trPr>
        <w:tc>
          <w:tcPr>
            <w:tcW w:w="0" w:type="auto"/>
            <w:tcBorders>
              <w:top w:val="single" w:sz="4" w:space="0" w:color="auto"/>
              <w:left w:val="single" w:sz="4" w:space="0" w:color="auto"/>
              <w:bottom w:val="single" w:sz="4" w:space="0" w:color="auto"/>
              <w:right w:val="single" w:sz="4" w:space="0" w:color="auto"/>
            </w:tcBorders>
            <w:hideMark/>
          </w:tcPr>
          <w:p w14:paraId="278F8223" w14:textId="77777777" w:rsidR="00190C2C" w:rsidRPr="007F163A" w:rsidRDefault="00190C2C" w:rsidP="007B0EAA">
            <w:pPr>
              <w:jc w:val="both"/>
              <w:rPr>
                <w:sz w:val="22"/>
                <w:szCs w:val="22"/>
              </w:rPr>
            </w:pPr>
            <w:r w:rsidRPr="007F163A">
              <w:rPr>
                <w:sz w:val="22"/>
                <w:szCs w:val="22"/>
              </w:rPr>
              <w:t>RSC 991</w:t>
            </w:r>
          </w:p>
        </w:tc>
        <w:tc>
          <w:tcPr>
            <w:tcW w:w="0" w:type="auto"/>
            <w:tcBorders>
              <w:top w:val="single" w:sz="4" w:space="0" w:color="auto"/>
              <w:left w:val="single" w:sz="4" w:space="0" w:color="auto"/>
              <w:bottom w:val="single" w:sz="4" w:space="0" w:color="auto"/>
              <w:right w:val="single" w:sz="4" w:space="0" w:color="auto"/>
            </w:tcBorders>
            <w:hideMark/>
          </w:tcPr>
          <w:p w14:paraId="47804C2F" w14:textId="77777777" w:rsidR="00190C2C" w:rsidRPr="007F163A" w:rsidRDefault="00190C2C" w:rsidP="007B0EAA">
            <w:pPr>
              <w:jc w:val="both"/>
              <w:rPr>
                <w:sz w:val="22"/>
                <w:szCs w:val="22"/>
              </w:rPr>
            </w:pPr>
            <w:r w:rsidRPr="007F163A">
              <w:rPr>
                <w:sz w:val="22"/>
                <w:szCs w:val="22"/>
              </w:rPr>
              <w:t>Research Seminar I</w:t>
            </w:r>
          </w:p>
        </w:tc>
        <w:tc>
          <w:tcPr>
            <w:tcW w:w="0" w:type="auto"/>
            <w:tcBorders>
              <w:top w:val="single" w:sz="4" w:space="0" w:color="auto"/>
              <w:left w:val="single" w:sz="4" w:space="0" w:color="auto"/>
              <w:bottom w:val="single" w:sz="4" w:space="0" w:color="auto"/>
              <w:right w:val="single" w:sz="4" w:space="0" w:color="auto"/>
            </w:tcBorders>
          </w:tcPr>
          <w:p w14:paraId="1FF78E41" w14:textId="77777777" w:rsidR="00190C2C" w:rsidRPr="007F163A" w:rsidRDefault="00190C2C" w:rsidP="007B0EAA">
            <w:pPr>
              <w:jc w:val="center"/>
              <w:rPr>
                <w:sz w:val="22"/>
                <w:szCs w:val="22"/>
              </w:rPr>
            </w:pPr>
            <w:r w:rsidRPr="007F163A">
              <w:rPr>
                <w:sz w:val="22"/>
                <w:szCs w:val="22"/>
              </w:rPr>
              <w:t>Compulsory</w:t>
            </w:r>
          </w:p>
        </w:tc>
        <w:tc>
          <w:tcPr>
            <w:tcW w:w="0" w:type="auto"/>
            <w:tcBorders>
              <w:top w:val="single" w:sz="4" w:space="0" w:color="auto"/>
              <w:left w:val="single" w:sz="4" w:space="0" w:color="auto"/>
              <w:bottom w:val="single" w:sz="4" w:space="0" w:color="auto"/>
              <w:right w:val="single" w:sz="4" w:space="0" w:color="auto"/>
            </w:tcBorders>
            <w:hideMark/>
          </w:tcPr>
          <w:p w14:paraId="77190BA8" w14:textId="77777777" w:rsidR="00190C2C" w:rsidRPr="007F163A" w:rsidRDefault="00190C2C" w:rsidP="007B0EAA">
            <w:pPr>
              <w:jc w:val="center"/>
              <w:rPr>
                <w:sz w:val="22"/>
                <w:szCs w:val="22"/>
              </w:rPr>
            </w:pPr>
            <w:r w:rsidRPr="007F163A">
              <w:rPr>
                <w:sz w:val="22"/>
                <w:szCs w:val="22"/>
              </w:rPr>
              <w:t>3</w:t>
            </w:r>
          </w:p>
        </w:tc>
      </w:tr>
      <w:tr w:rsidR="00190C2C" w:rsidRPr="007F163A" w14:paraId="008FEA28" w14:textId="77777777" w:rsidTr="007B0EAA">
        <w:trPr>
          <w:jc w:val="center"/>
        </w:trPr>
        <w:tc>
          <w:tcPr>
            <w:tcW w:w="0" w:type="auto"/>
            <w:tcBorders>
              <w:top w:val="single" w:sz="4" w:space="0" w:color="auto"/>
              <w:left w:val="single" w:sz="4" w:space="0" w:color="auto"/>
              <w:bottom w:val="single" w:sz="4" w:space="0" w:color="auto"/>
              <w:right w:val="single" w:sz="4" w:space="0" w:color="auto"/>
            </w:tcBorders>
            <w:hideMark/>
          </w:tcPr>
          <w:p w14:paraId="56A75456" w14:textId="77777777" w:rsidR="00190C2C" w:rsidRPr="007F163A" w:rsidRDefault="00190C2C" w:rsidP="007B0EAA">
            <w:pPr>
              <w:jc w:val="both"/>
              <w:rPr>
                <w:sz w:val="22"/>
                <w:szCs w:val="22"/>
              </w:rPr>
            </w:pPr>
            <w:r w:rsidRPr="007F163A">
              <w:rPr>
                <w:sz w:val="22"/>
                <w:szCs w:val="22"/>
              </w:rPr>
              <w:t>RSC 992</w:t>
            </w:r>
          </w:p>
        </w:tc>
        <w:tc>
          <w:tcPr>
            <w:tcW w:w="0" w:type="auto"/>
            <w:tcBorders>
              <w:top w:val="single" w:sz="4" w:space="0" w:color="auto"/>
              <w:left w:val="single" w:sz="4" w:space="0" w:color="auto"/>
              <w:bottom w:val="single" w:sz="4" w:space="0" w:color="auto"/>
              <w:right w:val="single" w:sz="4" w:space="0" w:color="auto"/>
            </w:tcBorders>
            <w:hideMark/>
          </w:tcPr>
          <w:p w14:paraId="6C5B5349" w14:textId="77777777" w:rsidR="00190C2C" w:rsidRPr="007F163A" w:rsidRDefault="00190C2C" w:rsidP="007B0EAA">
            <w:pPr>
              <w:jc w:val="both"/>
              <w:rPr>
                <w:sz w:val="22"/>
                <w:szCs w:val="22"/>
              </w:rPr>
            </w:pPr>
            <w:r w:rsidRPr="007F163A">
              <w:rPr>
                <w:sz w:val="22"/>
                <w:szCs w:val="22"/>
              </w:rPr>
              <w:t>Research Seminar II</w:t>
            </w:r>
          </w:p>
        </w:tc>
        <w:tc>
          <w:tcPr>
            <w:tcW w:w="0" w:type="auto"/>
            <w:tcBorders>
              <w:top w:val="single" w:sz="4" w:space="0" w:color="auto"/>
              <w:left w:val="single" w:sz="4" w:space="0" w:color="auto"/>
              <w:bottom w:val="single" w:sz="4" w:space="0" w:color="auto"/>
              <w:right w:val="single" w:sz="4" w:space="0" w:color="auto"/>
            </w:tcBorders>
          </w:tcPr>
          <w:p w14:paraId="069714E1" w14:textId="77777777" w:rsidR="00190C2C" w:rsidRPr="007F163A" w:rsidRDefault="00190C2C" w:rsidP="007B0EAA">
            <w:pPr>
              <w:jc w:val="center"/>
              <w:rPr>
                <w:sz w:val="22"/>
                <w:szCs w:val="22"/>
              </w:rPr>
            </w:pPr>
            <w:r w:rsidRPr="007F163A">
              <w:rPr>
                <w:sz w:val="22"/>
                <w:szCs w:val="22"/>
              </w:rPr>
              <w:t>Compulsory</w:t>
            </w:r>
          </w:p>
        </w:tc>
        <w:tc>
          <w:tcPr>
            <w:tcW w:w="0" w:type="auto"/>
            <w:tcBorders>
              <w:top w:val="single" w:sz="4" w:space="0" w:color="auto"/>
              <w:left w:val="single" w:sz="4" w:space="0" w:color="auto"/>
              <w:bottom w:val="single" w:sz="4" w:space="0" w:color="auto"/>
              <w:right w:val="single" w:sz="4" w:space="0" w:color="auto"/>
            </w:tcBorders>
            <w:hideMark/>
          </w:tcPr>
          <w:p w14:paraId="6D08AADE" w14:textId="77777777" w:rsidR="00190C2C" w:rsidRPr="007F163A" w:rsidRDefault="00190C2C" w:rsidP="007B0EAA">
            <w:pPr>
              <w:jc w:val="center"/>
              <w:rPr>
                <w:sz w:val="22"/>
                <w:szCs w:val="22"/>
              </w:rPr>
            </w:pPr>
            <w:r w:rsidRPr="007F163A">
              <w:rPr>
                <w:sz w:val="22"/>
                <w:szCs w:val="22"/>
              </w:rPr>
              <w:t>3</w:t>
            </w:r>
          </w:p>
        </w:tc>
      </w:tr>
      <w:tr w:rsidR="00190C2C" w:rsidRPr="007F163A" w14:paraId="782519AE" w14:textId="77777777" w:rsidTr="007B0EAA">
        <w:trPr>
          <w:jc w:val="center"/>
        </w:trPr>
        <w:tc>
          <w:tcPr>
            <w:tcW w:w="0" w:type="auto"/>
            <w:tcBorders>
              <w:top w:val="single" w:sz="4" w:space="0" w:color="auto"/>
              <w:left w:val="single" w:sz="4" w:space="0" w:color="auto"/>
              <w:bottom w:val="single" w:sz="4" w:space="0" w:color="auto"/>
              <w:right w:val="single" w:sz="4" w:space="0" w:color="auto"/>
            </w:tcBorders>
          </w:tcPr>
          <w:p w14:paraId="2C16BC67" w14:textId="77777777" w:rsidR="00190C2C" w:rsidRPr="007F163A" w:rsidRDefault="00190C2C" w:rsidP="007B0EAA">
            <w:pPr>
              <w:jc w:val="both"/>
              <w:rPr>
                <w:sz w:val="22"/>
                <w:szCs w:val="22"/>
              </w:rPr>
            </w:pPr>
            <w:r w:rsidRPr="007F163A">
              <w:rPr>
                <w:sz w:val="22"/>
                <w:szCs w:val="22"/>
              </w:rPr>
              <w:t>RSC 999</w:t>
            </w:r>
          </w:p>
        </w:tc>
        <w:tc>
          <w:tcPr>
            <w:tcW w:w="0" w:type="auto"/>
            <w:tcBorders>
              <w:top w:val="single" w:sz="4" w:space="0" w:color="auto"/>
              <w:left w:val="single" w:sz="4" w:space="0" w:color="auto"/>
              <w:bottom w:val="single" w:sz="4" w:space="0" w:color="auto"/>
              <w:right w:val="single" w:sz="4" w:space="0" w:color="auto"/>
            </w:tcBorders>
          </w:tcPr>
          <w:p w14:paraId="7F4673E9" w14:textId="77777777" w:rsidR="00190C2C" w:rsidRPr="007F163A" w:rsidRDefault="00190C2C" w:rsidP="007B0EAA">
            <w:pPr>
              <w:jc w:val="both"/>
              <w:rPr>
                <w:sz w:val="22"/>
                <w:szCs w:val="22"/>
              </w:rPr>
            </w:pPr>
            <w:r w:rsidRPr="007F163A">
              <w:rPr>
                <w:sz w:val="22"/>
                <w:szCs w:val="22"/>
              </w:rPr>
              <w:t>Research Thesis</w:t>
            </w:r>
          </w:p>
        </w:tc>
        <w:tc>
          <w:tcPr>
            <w:tcW w:w="0" w:type="auto"/>
            <w:tcBorders>
              <w:top w:val="single" w:sz="4" w:space="0" w:color="auto"/>
              <w:left w:val="single" w:sz="4" w:space="0" w:color="auto"/>
              <w:bottom w:val="single" w:sz="4" w:space="0" w:color="auto"/>
              <w:right w:val="single" w:sz="4" w:space="0" w:color="auto"/>
            </w:tcBorders>
          </w:tcPr>
          <w:p w14:paraId="4CD9BBB3" w14:textId="77777777" w:rsidR="00190C2C" w:rsidRPr="007F163A" w:rsidRDefault="00190C2C" w:rsidP="007B0EAA">
            <w:pPr>
              <w:jc w:val="center"/>
              <w:rPr>
                <w:sz w:val="22"/>
                <w:szCs w:val="22"/>
              </w:rPr>
            </w:pPr>
            <w:r w:rsidRPr="007F163A">
              <w:rPr>
                <w:sz w:val="22"/>
                <w:szCs w:val="22"/>
              </w:rPr>
              <w:t>Compulsory</w:t>
            </w:r>
          </w:p>
        </w:tc>
        <w:tc>
          <w:tcPr>
            <w:tcW w:w="0" w:type="auto"/>
            <w:tcBorders>
              <w:top w:val="single" w:sz="4" w:space="0" w:color="auto"/>
              <w:left w:val="single" w:sz="4" w:space="0" w:color="auto"/>
              <w:bottom w:val="single" w:sz="4" w:space="0" w:color="auto"/>
              <w:right w:val="single" w:sz="4" w:space="0" w:color="auto"/>
            </w:tcBorders>
          </w:tcPr>
          <w:p w14:paraId="5802A29C" w14:textId="77777777" w:rsidR="00190C2C" w:rsidRPr="007F163A" w:rsidRDefault="00190C2C" w:rsidP="007B0EAA">
            <w:pPr>
              <w:jc w:val="center"/>
              <w:rPr>
                <w:sz w:val="22"/>
                <w:szCs w:val="22"/>
              </w:rPr>
            </w:pPr>
            <w:r w:rsidRPr="007F163A">
              <w:rPr>
                <w:sz w:val="22"/>
                <w:szCs w:val="22"/>
              </w:rPr>
              <w:t>12</w:t>
            </w:r>
          </w:p>
        </w:tc>
      </w:tr>
      <w:tr w:rsidR="00190C2C" w:rsidRPr="007F163A" w14:paraId="47641B11" w14:textId="77777777" w:rsidTr="007B0EAA">
        <w:trPr>
          <w:jc w:val="center"/>
        </w:trPr>
        <w:tc>
          <w:tcPr>
            <w:tcW w:w="0" w:type="auto"/>
            <w:tcBorders>
              <w:top w:val="single" w:sz="4" w:space="0" w:color="auto"/>
              <w:left w:val="single" w:sz="4" w:space="0" w:color="auto"/>
              <w:bottom w:val="single" w:sz="4" w:space="0" w:color="auto"/>
              <w:right w:val="single" w:sz="4" w:space="0" w:color="auto"/>
            </w:tcBorders>
            <w:hideMark/>
          </w:tcPr>
          <w:p w14:paraId="42570E57" w14:textId="77777777" w:rsidR="00190C2C" w:rsidRPr="007F163A" w:rsidRDefault="00190C2C" w:rsidP="007B0EAA">
            <w:pPr>
              <w:jc w:val="both"/>
              <w:rPr>
                <w:sz w:val="22"/>
                <w:szCs w:val="22"/>
              </w:rPr>
            </w:pPr>
          </w:p>
          <w:p w14:paraId="20CDE943" w14:textId="77777777" w:rsidR="00190C2C" w:rsidRPr="007F163A" w:rsidRDefault="00190C2C" w:rsidP="007B0EAA">
            <w:pPr>
              <w:jc w:val="both"/>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167A7806" w14:textId="77777777" w:rsidR="00190C2C" w:rsidRPr="007F163A" w:rsidRDefault="00190C2C" w:rsidP="007B0EAA">
            <w:pPr>
              <w:jc w:val="both"/>
              <w:rPr>
                <w:b/>
                <w:sz w:val="22"/>
                <w:szCs w:val="22"/>
              </w:rPr>
            </w:pPr>
            <w:r w:rsidRPr="007F163A">
              <w:rPr>
                <w:b/>
                <w:sz w:val="22"/>
                <w:szCs w:val="22"/>
              </w:rPr>
              <w:t>Total</w:t>
            </w:r>
          </w:p>
        </w:tc>
        <w:tc>
          <w:tcPr>
            <w:tcW w:w="0" w:type="auto"/>
            <w:tcBorders>
              <w:top w:val="single" w:sz="4" w:space="0" w:color="auto"/>
              <w:left w:val="single" w:sz="4" w:space="0" w:color="auto"/>
              <w:bottom w:val="single" w:sz="4" w:space="0" w:color="auto"/>
              <w:right w:val="single" w:sz="4" w:space="0" w:color="auto"/>
            </w:tcBorders>
          </w:tcPr>
          <w:p w14:paraId="735B38FF" w14:textId="77777777" w:rsidR="00190C2C" w:rsidRPr="007F163A" w:rsidRDefault="00190C2C" w:rsidP="007B0EAA">
            <w:pPr>
              <w:contextualSpacing/>
              <w:jc w:val="both"/>
              <w:rPr>
                <w:b/>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0DA67F08" w14:textId="77777777" w:rsidR="00190C2C" w:rsidRPr="007F163A" w:rsidRDefault="00190C2C" w:rsidP="007B0EAA">
            <w:pPr>
              <w:contextualSpacing/>
              <w:jc w:val="both"/>
              <w:rPr>
                <w:b/>
                <w:sz w:val="22"/>
                <w:szCs w:val="22"/>
              </w:rPr>
            </w:pPr>
            <w:r w:rsidRPr="007F163A">
              <w:rPr>
                <w:b/>
                <w:sz w:val="22"/>
                <w:szCs w:val="22"/>
              </w:rPr>
              <w:t xml:space="preserve">       24</w:t>
            </w:r>
          </w:p>
        </w:tc>
      </w:tr>
    </w:tbl>
    <w:p w14:paraId="34A8E039" w14:textId="0C718FA5" w:rsidR="00190C2C" w:rsidRDefault="00190C2C"/>
    <w:p w14:paraId="7BA0655C" w14:textId="49A8ED6F" w:rsidR="00190C2C" w:rsidRDefault="00190C2C"/>
    <w:p w14:paraId="2B797830" w14:textId="7642FDE0" w:rsidR="00BA56C7" w:rsidRPr="007F163A" w:rsidRDefault="00BA56C7" w:rsidP="00BA56C7">
      <w:pPr>
        <w:pStyle w:val="Heading3"/>
        <w:numPr>
          <w:ilvl w:val="0"/>
          <w:numId w:val="0"/>
        </w:numPr>
        <w:rPr>
          <w:sz w:val="22"/>
          <w:szCs w:val="24"/>
        </w:rPr>
      </w:pPr>
      <w:r w:rsidRPr="007F163A">
        <w:rPr>
          <w:sz w:val="22"/>
          <w:szCs w:val="24"/>
        </w:rPr>
        <w:lastRenderedPageBreak/>
        <w:t xml:space="preserve"> </w:t>
      </w:r>
      <w:bookmarkStart w:id="11" w:name="_Toc102415947"/>
      <w:r w:rsidRPr="007F163A">
        <w:rPr>
          <w:sz w:val="22"/>
          <w:szCs w:val="24"/>
        </w:rPr>
        <w:t>Summary of number of units compulsory and elective courses to be taken/available at each Level</w:t>
      </w:r>
      <w:bookmarkEnd w:id="11"/>
    </w:p>
    <w:p w14:paraId="6E048F7E" w14:textId="77777777" w:rsidR="00BA56C7" w:rsidRPr="007F163A" w:rsidRDefault="00BA56C7" w:rsidP="00BA56C7">
      <w:pPr>
        <w:pStyle w:val="ListParagraph"/>
        <w:ind w:left="0"/>
        <w:jc w:val="both"/>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1239"/>
        <w:gridCol w:w="1021"/>
        <w:gridCol w:w="1239"/>
        <w:gridCol w:w="1021"/>
        <w:gridCol w:w="1205"/>
        <w:gridCol w:w="994"/>
      </w:tblGrid>
      <w:tr w:rsidR="00BA56C7" w:rsidRPr="007F163A" w14:paraId="7DF4E2D6" w14:textId="77777777" w:rsidTr="007B0EAA">
        <w:trPr>
          <w:jc w:val="center"/>
        </w:trPr>
        <w:tc>
          <w:tcPr>
            <w:tcW w:w="731" w:type="dxa"/>
            <w:shd w:val="clear" w:color="auto" w:fill="auto"/>
          </w:tcPr>
          <w:p w14:paraId="4001CE9B" w14:textId="77777777" w:rsidR="00BA56C7" w:rsidRPr="007F163A" w:rsidRDefault="00BA56C7" w:rsidP="007B0EAA">
            <w:pPr>
              <w:pStyle w:val="ListParagraph"/>
              <w:ind w:left="0"/>
              <w:jc w:val="both"/>
              <w:rPr>
                <w:b/>
                <w:sz w:val="22"/>
                <w:szCs w:val="22"/>
              </w:rPr>
            </w:pPr>
          </w:p>
        </w:tc>
        <w:tc>
          <w:tcPr>
            <w:tcW w:w="2260" w:type="dxa"/>
            <w:gridSpan w:val="2"/>
            <w:shd w:val="clear" w:color="auto" w:fill="auto"/>
          </w:tcPr>
          <w:p w14:paraId="205FF7A3" w14:textId="77777777" w:rsidR="00BA56C7" w:rsidRPr="007F163A" w:rsidRDefault="00BA56C7" w:rsidP="007B0EAA">
            <w:pPr>
              <w:pStyle w:val="ListParagraph"/>
              <w:ind w:left="0"/>
              <w:jc w:val="both"/>
              <w:rPr>
                <w:b/>
                <w:sz w:val="22"/>
                <w:szCs w:val="22"/>
              </w:rPr>
            </w:pPr>
            <w:r w:rsidRPr="007F163A">
              <w:rPr>
                <w:b/>
                <w:sz w:val="22"/>
                <w:szCs w:val="22"/>
              </w:rPr>
              <w:t>First semester</w:t>
            </w:r>
          </w:p>
        </w:tc>
        <w:tc>
          <w:tcPr>
            <w:tcW w:w="2260" w:type="dxa"/>
            <w:gridSpan w:val="2"/>
            <w:shd w:val="clear" w:color="auto" w:fill="auto"/>
          </w:tcPr>
          <w:p w14:paraId="1CABEE33" w14:textId="77777777" w:rsidR="00BA56C7" w:rsidRPr="007F163A" w:rsidRDefault="00BA56C7" w:rsidP="007B0EAA">
            <w:pPr>
              <w:pStyle w:val="ListParagraph"/>
              <w:ind w:left="0"/>
              <w:jc w:val="both"/>
              <w:rPr>
                <w:b/>
                <w:sz w:val="22"/>
                <w:szCs w:val="22"/>
              </w:rPr>
            </w:pPr>
            <w:r w:rsidRPr="007F163A">
              <w:rPr>
                <w:b/>
                <w:sz w:val="22"/>
                <w:szCs w:val="22"/>
              </w:rPr>
              <w:t>Second semester</w:t>
            </w:r>
          </w:p>
        </w:tc>
        <w:tc>
          <w:tcPr>
            <w:tcW w:w="2199" w:type="dxa"/>
            <w:gridSpan w:val="2"/>
            <w:shd w:val="clear" w:color="auto" w:fill="auto"/>
          </w:tcPr>
          <w:p w14:paraId="0ADDE708" w14:textId="77777777" w:rsidR="00BA56C7" w:rsidRPr="007F163A" w:rsidRDefault="00BA56C7" w:rsidP="007B0EAA">
            <w:pPr>
              <w:pStyle w:val="ListParagraph"/>
              <w:ind w:left="0"/>
              <w:jc w:val="both"/>
              <w:rPr>
                <w:b/>
                <w:sz w:val="22"/>
                <w:szCs w:val="22"/>
              </w:rPr>
            </w:pPr>
            <w:r w:rsidRPr="007F163A">
              <w:rPr>
                <w:b/>
                <w:sz w:val="22"/>
                <w:szCs w:val="22"/>
              </w:rPr>
              <w:t>Total</w:t>
            </w:r>
          </w:p>
        </w:tc>
      </w:tr>
      <w:tr w:rsidR="00BA56C7" w:rsidRPr="007F163A" w14:paraId="702F8C9F" w14:textId="77777777" w:rsidTr="007B0EAA">
        <w:trPr>
          <w:jc w:val="center"/>
        </w:trPr>
        <w:tc>
          <w:tcPr>
            <w:tcW w:w="731" w:type="dxa"/>
            <w:shd w:val="clear" w:color="auto" w:fill="auto"/>
          </w:tcPr>
          <w:p w14:paraId="36AF3024" w14:textId="77777777" w:rsidR="00BA56C7" w:rsidRPr="00B10356" w:rsidRDefault="00BA56C7" w:rsidP="007B0EAA">
            <w:pPr>
              <w:pStyle w:val="ListParagraph"/>
              <w:ind w:left="0"/>
              <w:jc w:val="both"/>
              <w:rPr>
                <w:b/>
                <w:sz w:val="15"/>
                <w:szCs w:val="15"/>
              </w:rPr>
            </w:pPr>
            <w:r w:rsidRPr="00B10356">
              <w:rPr>
                <w:b/>
                <w:sz w:val="15"/>
                <w:szCs w:val="15"/>
              </w:rPr>
              <w:t>Level</w:t>
            </w:r>
          </w:p>
        </w:tc>
        <w:tc>
          <w:tcPr>
            <w:tcW w:w="1239" w:type="dxa"/>
            <w:shd w:val="clear" w:color="auto" w:fill="auto"/>
          </w:tcPr>
          <w:p w14:paraId="79D6AD6A" w14:textId="77777777" w:rsidR="00BA56C7" w:rsidRPr="00B10356" w:rsidRDefault="00BA56C7" w:rsidP="007B0EAA">
            <w:pPr>
              <w:pStyle w:val="ListParagraph"/>
              <w:ind w:left="0"/>
              <w:jc w:val="both"/>
              <w:rPr>
                <w:b/>
                <w:sz w:val="15"/>
                <w:szCs w:val="15"/>
              </w:rPr>
            </w:pPr>
            <w:r w:rsidRPr="00B10356">
              <w:rPr>
                <w:sz w:val="15"/>
                <w:szCs w:val="15"/>
              </w:rPr>
              <w:t xml:space="preserve">Units of Compulsory Courses </w:t>
            </w:r>
          </w:p>
        </w:tc>
        <w:tc>
          <w:tcPr>
            <w:tcW w:w="1021" w:type="dxa"/>
            <w:shd w:val="clear" w:color="auto" w:fill="auto"/>
          </w:tcPr>
          <w:p w14:paraId="3BC7C1A1" w14:textId="77777777" w:rsidR="00BA56C7" w:rsidRPr="00B10356" w:rsidRDefault="00BA56C7" w:rsidP="007B0EAA">
            <w:pPr>
              <w:pStyle w:val="ListParagraph"/>
              <w:ind w:left="0"/>
              <w:jc w:val="both"/>
              <w:rPr>
                <w:b/>
                <w:sz w:val="15"/>
                <w:szCs w:val="15"/>
              </w:rPr>
            </w:pPr>
            <w:r w:rsidRPr="00B10356">
              <w:rPr>
                <w:sz w:val="15"/>
                <w:szCs w:val="15"/>
              </w:rPr>
              <w:t>Units of Elective Courses Available</w:t>
            </w:r>
          </w:p>
        </w:tc>
        <w:tc>
          <w:tcPr>
            <w:tcW w:w="1239" w:type="dxa"/>
            <w:shd w:val="clear" w:color="auto" w:fill="auto"/>
          </w:tcPr>
          <w:p w14:paraId="795C1CB8" w14:textId="77777777" w:rsidR="00BA56C7" w:rsidRPr="00B10356" w:rsidRDefault="00BA56C7" w:rsidP="007B0EAA">
            <w:pPr>
              <w:pStyle w:val="ListParagraph"/>
              <w:ind w:left="0"/>
              <w:jc w:val="both"/>
              <w:rPr>
                <w:b/>
                <w:sz w:val="15"/>
                <w:szCs w:val="15"/>
              </w:rPr>
            </w:pPr>
            <w:r w:rsidRPr="00B10356">
              <w:rPr>
                <w:sz w:val="15"/>
                <w:szCs w:val="15"/>
              </w:rPr>
              <w:t xml:space="preserve">Units of Compulsory Courses </w:t>
            </w:r>
          </w:p>
        </w:tc>
        <w:tc>
          <w:tcPr>
            <w:tcW w:w="1021" w:type="dxa"/>
            <w:shd w:val="clear" w:color="auto" w:fill="auto"/>
          </w:tcPr>
          <w:p w14:paraId="5DC6B9E0" w14:textId="77777777" w:rsidR="00BA56C7" w:rsidRPr="00B10356" w:rsidRDefault="00BA56C7" w:rsidP="007B0EAA">
            <w:pPr>
              <w:pStyle w:val="ListParagraph"/>
              <w:ind w:left="0"/>
              <w:jc w:val="both"/>
              <w:rPr>
                <w:b/>
                <w:sz w:val="15"/>
                <w:szCs w:val="15"/>
              </w:rPr>
            </w:pPr>
            <w:r w:rsidRPr="00B10356">
              <w:rPr>
                <w:sz w:val="15"/>
                <w:szCs w:val="15"/>
              </w:rPr>
              <w:t>Units of Elective Courses Available</w:t>
            </w:r>
          </w:p>
        </w:tc>
        <w:tc>
          <w:tcPr>
            <w:tcW w:w="1205" w:type="dxa"/>
            <w:shd w:val="clear" w:color="auto" w:fill="auto"/>
          </w:tcPr>
          <w:p w14:paraId="2BD5AA1B" w14:textId="77777777" w:rsidR="00BA56C7" w:rsidRPr="00B10356" w:rsidRDefault="00BA56C7" w:rsidP="007B0EAA">
            <w:pPr>
              <w:pStyle w:val="ListParagraph"/>
              <w:ind w:left="0"/>
              <w:jc w:val="both"/>
              <w:rPr>
                <w:b/>
                <w:sz w:val="15"/>
                <w:szCs w:val="15"/>
              </w:rPr>
            </w:pPr>
            <w:r w:rsidRPr="00B10356">
              <w:rPr>
                <w:sz w:val="15"/>
                <w:szCs w:val="15"/>
              </w:rPr>
              <w:t xml:space="preserve">Total of Compulsory Courses </w:t>
            </w:r>
          </w:p>
        </w:tc>
        <w:tc>
          <w:tcPr>
            <w:tcW w:w="994" w:type="dxa"/>
            <w:shd w:val="clear" w:color="auto" w:fill="auto"/>
          </w:tcPr>
          <w:p w14:paraId="3EEB9E95" w14:textId="77777777" w:rsidR="00BA56C7" w:rsidRPr="00B10356" w:rsidRDefault="00BA56C7" w:rsidP="007B0EAA">
            <w:pPr>
              <w:pStyle w:val="ListParagraph"/>
              <w:ind w:left="0"/>
              <w:jc w:val="both"/>
              <w:rPr>
                <w:b/>
                <w:sz w:val="15"/>
                <w:szCs w:val="15"/>
              </w:rPr>
            </w:pPr>
            <w:r w:rsidRPr="00B10356">
              <w:rPr>
                <w:sz w:val="15"/>
                <w:szCs w:val="15"/>
              </w:rPr>
              <w:t>Total of Elective Courses Available</w:t>
            </w:r>
          </w:p>
        </w:tc>
      </w:tr>
      <w:tr w:rsidR="00BA56C7" w:rsidRPr="007F163A" w14:paraId="0EDE5E1E" w14:textId="77777777" w:rsidTr="007B0EAA">
        <w:trPr>
          <w:jc w:val="center"/>
        </w:trPr>
        <w:tc>
          <w:tcPr>
            <w:tcW w:w="731" w:type="dxa"/>
            <w:shd w:val="clear" w:color="auto" w:fill="auto"/>
          </w:tcPr>
          <w:p w14:paraId="6B32AF70" w14:textId="77777777" w:rsidR="00BA56C7" w:rsidRPr="007F163A" w:rsidRDefault="00BA56C7" w:rsidP="007B0EAA">
            <w:pPr>
              <w:pStyle w:val="ListParagraph"/>
              <w:ind w:left="0"/>
              <w:jc w:val="both"/>
              <w:rPr>
                <w:b/>
                <w:sz w:val="22"/>
                <w:szCs w:val="22"/>
              </w:rPr>
            </w:pPr>
            <w:r w:rsidRPr="007F163A">
              <w:rPr>
                <w:b/>
                <w:sz w:val="22"/>
                <w:szCs w:val="22"/>
              </w:rPr>
              <w:t>800</w:t>
            </w:r>
          </w:p>
        </w:tc>
        <w:tc>
          <w:tcPr>
            <w:tcW w:w="1239" w:type="dxa"/>
            <w:shd w:val="clear" w:color="auto" w:fill="auto"/>
          </w:tcPr>
          <w:p w14:paraId="12814950" w14:textId="77777777" w:rsidR="00BA56C7" w:rsidRPr="007F163A" w:rsidRDefault="00BA56C7" w:rsidP="007B0EAA">
            <w:pPr>
              <w:pStyle w:val="ListParagraph"/>
              <w:ind w:left="0"/>
              <w:jc w:val="both"/>
              <w:rPr>
                <w:b/>
                <w:sz w:val="22"/>
                <w:szCs w:val="22"/>
              </w:rPr>
            </w:pPr>
            <w:r w:rsidRPr="007F163A">
              <w:rPr>
                <w:b/>
                <w:sz w:val="22"/>
                <w:szCs w:val="22"/>
              </w:rPr>
              <w:t>12</w:t>
            </w:r>
          </w:p>
        </w:tc>
        <w:tc>
          <w:tcPr>
            <w:tcW w:w="1021" w:type="dxa"/>
            <w:shd w:val="clear" w:color="auto" w:fill="auto"/>
          </w:tcPr>
          <w:p w14:paraId="04E62BA7" w14:textId="77777777" w:rsidR="00BA56C7" w:rsidRPr="007F163A" w:rsidRDefault="00BA56C7" w:rsidP="007B0EAA">
            <w:pPr>
              <w:pStyle w:val="ListParagraph"/>
              <w:ind w:left="0"/>
              <w:jc w:val="both"/>
              <w:rPr>
                <w:b/>
                <w:sz w:val="22"/>
                <w:szCs w:val="22"/>
              </w:rPr>
            </w:pPr>
            <w:r w:rsidRPr="007F163A">
              <w:rPr>
                <w:b/>
                <w:sz w:val="22"/>
                <w:szCs w:val="22"/>
              </w:rPr>
              <w:t>12</w:t>
            </w:r>
          </w:p>
        </w:tc>
        <w:tc>
          <w:tcPr>
            <w:tcW w:w="1239" w:type="dxa"/>
            <w:shd w:val="clear" w:color="auto" w:fill="auto"/>
          </w:tcPr>
          <w:p w14:paraId="0D2551E1" w14:textId="77777777" w:rsidR="00BA56C7" w:rsidRPr="007F163A" w:rsidRDefault="00BA56C7" w:rsidP="007B0EAA">
            <w:pPr>
              <w:pStyle w:val="ListParagraph"/>
              <w:ind w:left="0"/>
              <w:jc w:val="both"/>
              <w:rPr>
                <w:b/>
                <w:sz w:val="22"/>
                <w:szCs w:val="22"/>
              </w:rPr>
            </w:pPr>
            <w:r w:rsidRPr="007F163A">
              <w:rPr>
                <w:b/>
                <w:sz w:val="22"/>
                <w:szCs w:val="22"/>
              </w:rPr>
              <w:t>8</w:t>
            </w:r>
          </w:p>
        </w:tc>
        <w:tc>
          <w:tcPr>
            <w:tcW w:w="1021" w:type="dxa"/>
            <w:shd w:val="clear" w:color="auto" w:fill="auto"/>
          </w:tcPr>
          <w:p w14:paraId="6BC2DEA8" w14:textId="77777777" w:rsidR="00BA56C7" w:rsidRPr="007F163A" w:rsidRDefault="00BA56C7" w:rsidP="007B0EAA">
            <w:pPr>
              <w:pStyle w:val="ListParagraph"/>
              <w:ind w:left="0"/>
              <w:jc w:val="both"/>
              <w:rPr>
                <w:b/>
                <w:sz w:val="22"/>
                <w:szCs w:val="22"/>
              </w:rPr>
            </w:pPr>
            <w:r w:rsidRPr="007F163A">
              <w:rPr>
                <w:b/>
                <w:sz w:val="22"/>
                <w:szCs w:val="22"/>
              </w:rPr>
              <w:t>8</w:t>
            </w:r>
          </w:p>
        </w:tc>
        <w:tc>
          <w:tcPr>
            <w:tcW w:w="1205" w:type="dxa"/>
            <w:shd w:val="clear" w:color="auto" w:fill="auto"/>
          </w:tcPr>
          <w:p w14:paraId="2DE4BC88" w14:textId="77777777" w:rsidR="00BA56C7" w:rsidRPr="007F163A" w:rsidRDefault="00BA56C7" w:rsidP="007B0EAA">
            <w:pPr>
              <w:pStyle w:val="ListParagraph"/>
              <w:ind w:left="0"/>
              <w:jc w:val="both"/>
              <w:rPr>
                <w:b/>
                <w:sz w:val="22"/>
                <w:szCs w:val="22"/>
              </w:rPr>
            </w:pPr>
            <w:r w:rsidRPr="007F163A">
              <w:rPr>
                <w:b/>
                <w:sz w:val="22"/>
                <w:szCs w:val="22"/>
              </w:rPr>
              <w:t>20</w:t>
            </w:r>
          </w:p>
        </w:tc>
        <w:tc>
          <w:tcPr>
            <w:tcW w:w="994" w:type="dxa"/>
            <w:shd w:val="clear" w:color="auto" w:fill="auto"/>
          </w:tcPr>
          <w:p w14:paraId="3B217DA8" w14:textId="77777777" w:rsidR="00BA56C7" w:rsidRPr="007F163A" w:rsidRDefault="00BA56C7" w:rsidP="007B0EAA">
            <w:pPr>
              <w:pStyle w:val="ListParagraph"/>
              <w:ind w:left="0"/>
              <w:jc w:val="both"/>
              <w:rPr>
                <w:b/>
                <w:sz w:val="22"/>
                <w:szCs w:val="22"/>
              </w:rPr>
            </w:pPr>
            <w:r w:rsidRPr="007F163A">
              <w:rPr>
                <w:b/>
                <w:sz w:val="22"/>
                <w:szCs w:val="22"/>
              </w:rPr>
              <w:t>20</w:t>
            </w:r>
          </w:p>
        </w:tc>
      </w:tr>
    </w:tbl>
    <w:p w14:paraId="70A9A7F8" w14:textId="77777777" w:rsidR="00BA56C7" w:rsidRDefault="00BA56C7"/>
    <w:p w14:paraId="42EB8CAB" w14:textId="47D63AF9" w:rsidR="00190C2C" w:rsidRDefault="00190C2C" w:rsidP="00190C2C">
      <w:pPr>
        <w:pStyle w:val="Heading2"/>
      </w:pPr>
      <w:bookmarkStart w:id="12" w:name="_Toc102415948"/>
      <w:r w:rsidRPr="007F163A">
        <w:t>Course Contents/Description</w:t>
      </w:r>
      <w:bookmarkEnd w:id="12"/>
    </w:p>
    <w:p w14:paraId="6618B81E" w14:textId="5D5C4245" w:rsidR="00190C2C" w:rsidRDefault="00190C2C">
      <w:pPr>
        <w:rPr>
          <w:b/>
          <w:sz w:val="22"/>
        </w:rPr>
      </w:pPr>
    </w:p>
    <w:p w14:paraId="0D9224B0" w14:textId="77777777" w:rsidR="00190C2C" w:rsidRPr="007F163A" w:rsidRDefault="00190C2C" w:rsidP="00190C2C">
      <w:pPr>
        <w:jc w:val="both"/>
        <w:rPr>
          <w:b/>
          <w:sz w:val="22"/>
          <w:szCs w:val="22"/>
        </w:rPr>
      </w:pPr>
      <w:r w:rsidRPr="007F163A">
        <w:rPr>
          <w:b/>
          <w:sz w:val="22"/>
          <w:szCs w:val="22"/>
        </w:rPr>
        <w:t>RSC 951</w:t>
      </w:r>
      <w:r>
        <w:rPr>
          <w:b/>
          <w:sz w:val="22"/>
          <w:szCs w:val="22"/>
        </w:rPr>
        <w:t xml:space="preserve">:  </w:t>
      </w:r>
      <w:r w:rsidRPr="007F163A">
        <w:rPr>
          <w:b/>
          <w:bCs/>
          <w:sz w:val="22"/>
          <w:szCs w:val="22"/>
        </w:rPr>
        <w:t>Translational Medicine: An Overview</w:t>
      </w:r>
      <w:r w:rsidRPr="007F163A">
        <w:rPr>
          <w:b/>
          <w:sz w:val="22"/>
          <w:szCs w:val="22"/>
        </w:rPr>
        <w:tab/>
        <w:t xml:space="preserve">              </w:t>
      </w:r>
    </w:p>
    <w:p w14:paraId="3A9626BD" w14:textId="77777777" w:rsidR="00190C2C" w:rsidRPr="007F163A" w:rsidRDefault="00190C2C" w:rsidP="00190C2C">
      <w:pPr>
        <w:jc w:val="both"/>
        <w:rPr>
          <w:b/>
          <w:sz w:val="22"/>
          <w:szCs w:val="22"/>
        </w:rPr>
      </w:pPr>
      <w:r w:rsidRPr="007F163A">
        <w:rPr>
          <w:sz w:val="22"/>
          <w:szCs w:val="22"/>
        </w:rPr>
        <w:t>Translational medicine is the continuum – often known as “bench to bedside” – by which the biomedical community takes a focused point of view to move research discoveries from the laboratory into clinical practice to diagnose and treat patients. This desire to see a rapid progression from laboratory bench to hospital bedside brings with it huge hurdles that must be addressed and overcome – technological, ethical and regulatory. Thus, this introductory course is designed to provide an overview of principles and concepts underlying drug discovery and development as seen through the eyes of the industry, including terminology of translational science. This course introduces you to ways in which promising research discoveries move from the laboratory (bench) into clinical practice (bedside) to diagnose and treat patients, a process commonly referred as “Translational Science” or “Translational Medicine.”  It should give you a basic understanding of the principles and concepts underlying drug discovery and development as seen through the eyes of industry.  It will examine the use of different types of pharmaceutical interventions, from patented to generic to over-the counter drugs, dietary supplements and alternative medicines.  You will learn about the challenges of illicit and counterfeit drugs, with a view to their regulatory, ethical and societal challenges.  Selected cases studies will be critically reviewed and emerging “hot” topics discussed.  This course is directed at students interested in drug discovery research, chemistry, biology, pharmacology, biochemistry, toxicology, formulations, pharmaceutical industry, NAFDAC.  It would also be useful for business analysts, entrepreneurs and venture capitalists interested in understanding the pharmaceuticals industry.</w:t>
      </w:r>
    </w:p>
    <w:p w14:paraId="2D590058" w14:textId="77777777" w:rsidR="00190C2C" w:rsidRPr="007F163A" w:rsidRDefault="00190C2C" w:rsidP="00190C2C">
      <w:pPr>
        <w:jc w:val="both"/>
        <w:rPr>
          <w:sz w:val="22"/>
          <w:szCs w:val="22"/>
        </w:rPr>
      </w:pPr>
      <w:r w:rsidRPr="007F163A">
        <w:rPr>
          <w:sz w:val="22"/>
          <w:szCs w:val="22"/>
        </w:rPr>
        <w:tab/>
      </w:r>
    </w:p>
    <w:p w14:paraId="4A6F0816" w14:textId="77777777" w:rsidR="00190C2C" w:rsidRPr="007F163A" w:rsidRDefault="00190C2C" w:rsidP="00190C2C">
      <w:pPr>
        <w:jc w:val="both"/>
        <w:rPr>
          <w:b/>
          <w:sz w:val="22"/>
          <w:szCs w:val="22"/>
        </w:rPr>
      </w:pPr>
      <w:r w:rsidRPr="007F163A">
        <w:rPr>
          <w:b/>
          <w:sz w:val="22"/>
          <w:szCs w:val="22"/>
        </w:rPr>
        <w:t>RSC 952</w:t>
      </w:r>
      <w:r w:rsidRPr="007F163A">
        <w:rPr>
          <w:b/>
          <w:sz w:val="22"/>
          <w:szCs w:val="22"/>
        </w:rPr>
        <w:tab/>
        <w:t xml:space="preserve">Validation Requirements for Medical Products                          </w:t>
      </w:r>
    </w:p>
    <w:p w14:paraId="2095FED9" w14:textId="77777777" w:rsidR="00190C2C" w:rsidRPr="007F163A" w:rsidRDefault="00190C2C" w:rsidP="00190C2C">
      <w:pPr>
        <w:spacing w:after="100" w:afterAutospacing="1"/>
        <w:jc w:val="both"/>
        <w:rPr>
          <w:sz w:val="22"/>
          <w:szCs w:val="22"/>
        </w:rPr>
      </w:pPr>
      <w:r w:rsidRPr="007F163A">
        <w:rPr>
          <w:sz w:val="22"/>
          <w:szCs w:val="22"/>
        </w:rPr>
        <w:t>Regulated industries, such as medical product manufacturing, must adopt and adhere to complex compliance procedures to ensure their final product meets quality, safety and purity requirements so that it is safe for distribution and / or sale. As one of the essential pharmaceutical commercialization requirements, validation assures consistent reproduceable and repeatable results as part of the Quality Management System (QMS) for testing and manufacturing processes.  In this course, we will follow the progression of the testing and manufacturing validation activities over time in the pharmaceutical industry, beginning with equipment qualification, computer system validation (CSV), cleaning validation, laboratory instruments, testing and methods validation, manufacturing process and environmental monitoring validation for accuracy and precision, security, reliability, consistency and productivity.  You will see how business concepts merge with project management and science, to assure and keep products safe and in compliance with applicable regulations.</w:t>
      </w:r>
    </w:p>
    <w:p w14:paraId="355E8FEB" w14:textId="77777777" w:rsidR="00190C2C" w:rsidRPr="007F163A" w:rsidRDefault="00190C2C" w:rsidP="00190C2C">
      <w:pPr>
        <w:jc w:val="both"/>
        <w:rPr>
          <w:b/>
          <w:sz w:val="22"/>
          <w:szCs w:val="22"/>
        </w:rPr>
      </w:pPr>
      <w:r w:rsidRPr="007F163A">
        <w:rPr>
          <w:b/>
          <w:sz w:val="22"/>
          <w:szCs w:val="22"/>
        </w:rPr>
        <w:t xml:space="preserve"> RSC 953</w:t>
      </w:r>
      <w:r w:rsidRPr="007F163A">
        <w:rPr>
          <w:b/>
          <w:sz w:val="22"/>
          <w:szCs w:val="22"/>
        </w:rPr>
        <w:tab/>
        <w:t xml:space="preserve">Approaches to Drug Discovery                                                  </w:t>
      </w:r>
    </w:p>
    <w:p w14:paraId="07C3EFFC" w14:textId="77777777" w:rsidR="00190C2C" w:rsidRPr="007F163A" w:rsidRDefault="00190C2C" w:rsidP="00190C2C">
      <w:pPr>
        <w:spacing w:after="100" w:afterAutospacing="1"/>
        <w:jc w:val="both"/>
        <w:rPr>
          <w:sz w:val="22"/>
          <w:szCs w:val="22"/>
        </w:rPr>
      </w:pPr>
      <w:r w:rsidRPr="007F163A">
        <w:rPr>
          <w:sz w:val="22"/>
          <w:szCs w:val="22"/>
        </w:rPr>
        <w:t xml:space="preserve">Examines the process of drug discovery from selection of disease and therapeutic target to characterization and validation of lead drug candidates. Specific areas of interest are focused on steps related to target validation, genomics/bioinformatics, high-throughput screening, chemistry, pharmacokinetics and pharmacology. An introduction to biopharmaceuticals, such as gene therapy and recombinant DNA technology. Business aspects of bringing new drugs to the market will be </w:t>
      </w:r>
      <w:r w:rsidRPr="007F163A">
        <w:rPr>
          <w:sz w:val="22"/>
          <w:szCs w:val="22"/>
        </w:rPr>
        <w:lastRenderedPageBreak/>
        <w:t>discussed in the context of preclinical drug discovery as well as topics that companies must consider when involved in drug discovery and development, such as the financial aspects of starting up a pharmaceutical enterprise, the regulatory process, liability and litigation, and patent law.</w:t>
      </w:r>
    </w:p>
    <w:p w14:paraId="02DA4036" w14:textId="77777777" w:rsidR="00190C2C" w:rsidRPr="007F163A" w:rsidRDefault="00190C2C" w:rsidP="00190C2C">
      <w:pPr>
        <w:jc w:val="both"/>
        <w:rPr>
          <w:color w:val="000000"/>
          <w:sz w:val="22"/>
          <w:szCs w:val="22"/>
        </w:rPr>
      </w:pPr>
      <w:r w:rsidRPr="007F163A">
        <w:rPr>
          <w:b/>
          <w:color w:val="000000"/>
          <w:sz w:val="22"/>
          <w:szCs w:val="22"/>
        </w:rPr>
        <w:t xml:space="preserve">RSC </w:t>
      </w:r>
      <w:r w:rsidRPr="007F163A">
        <w:rPr>
          <w:b/>
          <w:sz w:val="22"/>
          <w:szCs w:val="22"/>
        </w:rPr>
        <w:t>991</w:t>
      </w:r>
      <w:r w:rsidRPr="007F163A">
        <w:rPr>
          <w:b/>
          <w:color w:val="000000"/>
          <w:sz w:val="22"/>
          <w:szCs w:val="22"/>
        </w:rPr>
        <w:t xml:space="preserve">: </w:t>
      </w:r>
      <w:r w:rsidRPr="007F163A">
        <w:rPr>
          <w:b/>
          <w:bCs/>
          <w:color w:val="000000"/>
          <w:sz w:val="22"/>
          <w:szCs w:val="22"/>
        </w:rPr>
        <w:t xml:space="preserve">Research Seminar I                                                                                     </w:t>
      </w:r>
    </w:p>
    <w:p w14:paraId="09DE0ACC" w14:textId="77777777" w:rsidR="00190C2C" w:rsidRPr="007F163A" w:rsidRDefault="00190C2C" w:rsidP="00190C2C">
      <w:pPr>
        <w:jc w:val="both"/>
        <w:rPr>
          <w:color w:val="000000"/>
          <w:sz w:val="22"/>
          <w:szCs w:val="22"/>
        </w:rPr>
      </w:pPr>
      <w:r w:rsidRPr="007F163A">
        <w:rPr>
          <w:color w:val="000000"/>
          <w:sz w:val="22"/>
          <w:szCs w:val="22"/>
        </w:rPr>
        <w:t>Presentation of Pre-Proposal seminar. Progress Report on Research Findings</w:t>
      </w:r>
    </w:p>
    <w:p w14:paraId="2650E9EA" w14:textId="77777777" w:rsidR="00190C2C" w:rsidRPr="007F163A" w:rsidRDefault="00190C2C" w:rsidP="00190C2C">
      <w:pPr>
        <w:jc w:val="both"/>
        <w:rPr>
          <w:color w:val="000000"/>
          <w:sz w:val="22"/>
          <w:szCs w:val="22"/>
        </w:rPr>
      </w:pPr>
    </w:p>
    <w:p w14:paraId="092A6A27" w14:textId="77777777" w:rsidR="00190C2C" w:rsidRDefault="00190C2C" w:rsidP="00190C2C">
      <w:pPr>
        <w:rPr>
          <w:b/>
          <w:color w:val="000000"/>
          <w:sz w:val="22"/>
          <w:szCs w:val="22"/>
        </w:rPr>
      </w:pPr>
      <w:r>
        <w:rPr>
          <w:b/>
          <w:color w:val="000000"/>
          <w:sz w:val="22"/>
          <w:szCs w:val="22"/>
        </w:rPr>
        <w:br w:type="page"/>
      </w:r>
    </w:p>
    <w:p w14:paraId="3B370E95" w14:textId="77777777" w:rsidR="00190C2C" w:rsidRPr="007F163A" w:rsidRDefault="00190C2C" w:rsidP="00190C2C">
      <w:pPr>
        <w:jc w:val="both"/>
        <w:rPr>
          <w:b/>
          <w:bCs/>
          <w:color w:val="000000"/>
          <w:sz w:val="22"/>
          <w:szCs w:val="22"/>
        </w:rPr>
      </w:pPr>
      <w:r w:rsidRPr="007F163A">
        <w:rPr>
          <w:b/>
          <w:color w:val="000000"/>
          <w:sz w:val="22"/>
          <w:szCs w:val="22"/>
        </w:rPr>
        <w:lastRenderedPageBreak/>
        <w:t xml:space="preserve">RSC </w:t>
      </w:r>
      <w:r w:rsidRPr="007F163A">
        <w:rPr>
          <w:b/>
          <w:sz w:val="22"/>
          <w:szCs w:val="22"/>
        </w:rPr>
        <w:t>992</w:t>
      </w:r>
      <w:r w:rsidRPr="007F163A">
        <w:rPr>
          <w:b/>
          <w:color w:val="000000"/>
          <w:sz w:val="22"/>
          <w:szCs w:val="22"/>
        </w:rPr>
        <w:t xml:space="preserve">: </w:t>
      </w:r>
      <w:r w:rsidRPr="007F163A">
        <w:rPr>
          <w:b/>
          <w:bCs/>
          <w:color w:val="000000"/>
          <w:sz w:val="22"/>
          <w:szCs w:val="22"/>
        </w:rPr>
        <w:t xml:space="preserve">Research Seminar II                                                                                   </w:t>
      </w:r>
    </w:p>
    <w:p w14:paraId="4A3732FF" w14:textId="77777777" w:rsidR="00190C2C" w:rsidRPr="007F163A" w:rsidRDefault="00190C2C" w:rsidP="00190C2C">
      <w:pPr>
        <w:jc w:val="both"/>
        <w:rPr>
          <w:bCs/>
          <w:color w:val="000000"/>
          <w:sz w:val="22"/>
          <w:szCs w:val="22"/>
        </w:rPr>
      </w:pPr>
      <w:r w:rsidRPr="007F163A">
        <w:rPr>
          <w:bCs/>
          <w:color w:val="000000"/>
          <w:sz w:val="22"/>
          <w:szCs w:val="22"/>
        </w:rPr>
        <w:t>Presentation of Research Project Report for Thesis Title Defense (Pre-APC Seminar)</w:t>
      </w:r>
    </w:p>
    <w:p w14:paraId="42AC4018" w14:textId="77777777" w:rsidR="00190C2C" w:rsidRPr="007F163A" w:rsidRDefault="00190C2C" w:rsidP="00190C2C">
      <w:pPr>
        <w:jc w:val="both"/>
        <w:rPr>
          <w:color w:val="000000"/>
          <w:sz w:val="22"/>
          <w:szCs w:val="22"/>
        </w:rPr>
      </w:pPr>
      <w:r w:rsidRPr="007F163A">
        <w:rPr>
          <w:color w:val="000000"/>
          <w:sz w:val="22"/>
          <w:szCs w:val="22"/>
        </w:rPr>
        <w:t>The student is expected to present a seminar in line with the prevailing School of Postgraduate Studies Academic Planning Committee (APC) format, highlighting the project’s contribution to knowledge</w:t>
      </w:r>
    </w:p>
    <w:p w14:paraId="6523C24A" w14:textId="77777777" w:rsidR="00190C2C" w:rsidRPr="007F163A" w:rsidRDefault="00190C2C" w:rsidP="00190C2C">
      <w:pPr>
        <w:jc w:val="both"/>
        <w:rPr>
          <w:color w:val="000000"/>
          <w:sz w:val="22"/>
          <w:szCs w:val="22"/>
        </w:rPr>
      </w:pPr>
    </w:p>
    <w:p w14:paraId="27E18E77" w14:textId="77777777" w:rsidR="00190C2C" w:rsidRPr="007F163A" w:rsidRDefault="00190C2C" w:rsidP="00190C2C">
      <w:pPr>
        <w:jc w:val="both"/>
        <w:rPr>
          <w:b/>
          <w:color w:val="000000"/>
          <w:sz w:val="22"/>
          <w:szCs w:val="22"/>
        </w:rPr>
      </w:pPr>
      <w:r w:rsidRPr="007F163A">
        <w:rPr>
          <w:b/>
          <w:color w:val="000000"/>
          <w:sz w:val="22"/>
          <w:szCs w:val="22"/>
        </w:rPr>
        <w:t xml:space="preserve">RSC </w:t>
      </w:r>
      <w:r w:rsidRPr="007F163A">
        <w:rPr>
          <w:b/>
          <w:sz w:val="22"/>
          <w:szCs w:val="22"/>
        </w:rPr>
        <w:t>999</w:t>
      </w:r>
      <w:r w:rsidRPr="007F163A">
        <w:rPr>
          <w:b/>
          <w:color w:val="000000"/>
          <w:sz w:val="22"/>
          <w:szCs w:val="22"/>
        </w:rPr>
        <w:t>: Research Thesis</w:t>
      </w:r>
      <w:r w:rsidRPr="007F163A">
        <w:rPr>
          <w:b/>
          <w:color w:val="000000"/>
          <w:sz w:val="22"/>
          <w:szCs w:val="22"/>
        </w:rPr>
        <w:tab/>
      </w:r>
      <w:r w:rsidRPr="007F163A">
        <w:rPr>
          <w:b/>
          <w:color w:val="000000"/>
          <w:sz w:val="22"/>
          <w:szCs w:val="22"/>
        </w:rPr>
        <w:tab/>
      </w:r>
      <w:r w:rsidRPr="007F163A">
        <w:rPr>
          <w:b/>
          <w:color w:val="000000"/>
          <w:sz w:val="22"/>
          <w:szCs w:val="22"/>
        </w:rPr>
        <w:tab/>
      </w:r>
      <w:r w:rsidRPr="007F163A">
        <w:rPr>
          <w:b/>
          <w:color w:val="000000"/>
          <w:sz w:val="22"/>
          <w:szCs w:val="22"/>
        </w:rPr>
        <w:tab/>
      </w:r>
      <w:r w:rsidRPr="007F163A">
        <w:rPr>
          <w:b/>
          <w:color w:val="000000"/>
          <w:sz w:val="22"/>
          <w:szCs w:val="22"/>
        </w:rPr>
        <w:tab/>
      </w:r>
    </w:p>
    <w:p w14:paraId="13232F32" w14:textId="77777777" w:rsidR="00190C2C" w:rsidRPr="007F163A" w:rsidRDefault="00190C2C" w:rsidP="00190C2C">
      <w:pPr>
        <w:jc w:val="both"/>
        <w:rPr>
          <w:bCs/>
          <w:sz w:val="22"/>
          <w:szCs w:val="22"/>
        </w:rPr>
      </w:pPr>
      <w:r w:rsidRPr="007F163A">
        <w:rPr>
          <w:bCs/>
          <w:sz w:val="22"/>
          <w:szCs w:val="22"/>
        </w:rPr>
        <w:t>Students will undertake research projects in specific areas of Regulatory Science</w:t>
      </w:r>
    </w:p>
    <w:p w14:paraId="37673612" w14:textId="77777777" w:rsidR="00190C2C" w:rsidRDefault="00190C2C"/>
    <w:sectPr w:rsidR="00190C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54F28"/>
    <w:multiLevelType w:val="hybridMultilevel"/>
    <w:tmpl w:val="F2AA0482"/>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 w15:restartNumberingAfterBreak="0">
    <w:nsid w:val="2AB34AF4"/>
    <w:multiLevelType w:val="hybridMultilevel"/>
    <w:tmpl w:val="F16C45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D85FCD"/>
    <w:multiLevelType w:val="hybridMultilevel"/>
    <w:tmpl w:val="587E760A"/>
    <w:lvl w:ilvl="0" w:tplc="031803E4">
      <w:start w:val="1"/>
      <w:numFmt w:val="decimal"/>
      <w:pStyle w:val="Heading3"/>
      <w:lvlText w:val="3.%1"/>
      <w:lvlJc w:val="left"/>
      <w:pPr>
        <w:ind w:left="1212"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3012" w:hanging="360"/>
      </w:pPr>
    </w:lvl>
    <w:lvl w:ilvl="2" w:tplc="0409001B" w:tentative="1">
      <w:start w:val="1"/>
      <w:numFmt w:val="lowerRoman"/>
      <w:lvlText w:val="%3."/>
      <w:lvlJc w:val="right"/>
      <w:pPr>
        <w:ind w:left="3732" w:hanging="180"/>
      </w:pPr>
    </w:lvl>
    <w:lvl w:ilvl="3" w:tplc="0409000F" w:tentative="1">
      <w:start w:val="1"/>
      <w:numFmt w:val="decimal"/>
      <w:lvlText w:val="%4."/>
      <w:lvlJc w:val="left"/>
      <w:pPr>
        <w:ind w:left="4452" w:hanging="360"/>
      </w:pPr>
    </w:lvl>
    <w:lvl w:ilvl="4" w:tplc="04090019" w:tentative="1">
      <w:start w:val="1"/>
      <w:numFmt w:val="lowerLetter"/>
      <w:lvlText w:val="%5."/>
      <w:lvlJc w:val="left"/>
      <w:pPr>
        <w:ind w:left="5172" w:hanging="360"/>
      </w:pPr>
    </w:lvl>
    <w:lvl w:ilvl="5" w:tplc="0409001B" w:tentative="1">
      <w:start w:val="1"/>
      <w:numFmt w:val="lowerRoman"/>
      <w:lvlText w:val="%6."/>
      <w:lvlJc w:val="right"/>
      <w:pPr>
        <w:ind w:left="5892" w:hanging="180"/>
      </w:pPr>
    </w:lvl>
    <w:lvl w:ilvl="6" w:tplc="0409000F" w:tentative="1">
      <w:start w:val="1"/>
      <w:numFmt w:val="decimal"/>
      <w:lvlText w:val="%7."/>
      <w:lvlJc w:val="left"/>
      <w:pPr>
        <w:ind w:left="6612" w:hanging="360"/>
      </w:pPr>
    </w:lvl>
    <w:lvl w:ilvl="7" w:tplc="04090019" w:tentative="1">
      <w:start w:val="1"/>
      <w:numFmt w:val="lowerLetter"/>
      <w:lvlText w:val="%8."/>
      <w:lvlJc w:val="left"/>
      <w:pPr>
        <w:ind w:left="7332" w:hanging="360"/>
      </w:pPr>
    </w:lvl>
    <w:lvl w:ilvl="8" w:tplc="0409001B" w:tentative="1">
      <w:start w:val="1"/>
      <w:numFmt w:val="lowerRoman"/>
      <w:lvlText w:val="%9."/>
      <w:lvlJc w:val="right"/>
      <w:pPr>
        <w:ind w:left="8052" w:hanging="180"/>
      </w:pPr>
    </w:lvl>
  </w:abstractNum>
  <w:abstractNum w:abstractNumId="3" w15:restartNumberingAfterBreak="0">
    <w:nsid w:val="615F5718"/>
    <w:multiLevelType w:val="hybridMultilevel"/>
    <w:tmpl w:val="DE5ADD70"/>
    <w:lvl w:ilvl="0" w:tplc="0809001B">
      <w:start w:val="1"/>
      <w:numFmt w:val="lowerRoman"/>
      <w:lvlText w:val="%1."/>
      <w:lvlJc w:val="right"/>
      <w:pPr>
        <w:ind w:left="4590" w:hanging="360"/>
      </w:pPr>
      <w:rPr>
        <w:i/>
        <w:iCs/>
      </w:rPr>
    </w:lvl>
    <w:lvl w:ilvl="1" w:tplc="04090019">
      <w:start w:val="1"/>
      <w:numFmt w:val="decimal"/>
      <w:lvlText w:val="%2."/>
      <w:lvlJc w:val="left"/>
      <w:pPr>
        <w:tabs>
          <w:tab w:val="num" w:pos="5310"/>
        </w:tabs>
        <w:ind w:left="5310" w:hanging="360"/>
      </w:pPr>
    </w:lvl>
    <w:lvl w:ilvl="2" w:tplc="0409001B">
      <w:start w:val="1"/>
      <w:numFmt w:val="decimal"/>
      <w:lvlText w:val="%3."/>
      <w:lvlJc w:val="left"/>
      <w:pPr>
        <w:tabs>
          <w:tab w:val="num" w:pos="6030"/>
        </w:tabs>
        <w:ind w:left="6030" w:hanging="360"/>
      </w:pPr>
    </w:lvl>
    <w:lvl w:ilvl="3" w:tplc="0409000F">
      <w:start w:val="1"/>
      <w:numFmt w:val="decimal"/>
      <w:lvlText w:val="%4."/>
      <w:lvlJc w:val="left"/>
      <w:pPr>
        <w:tabs>
          <w:tab w:val="num" w:pos="6750"/>
        </w:tabs>
        <w:ind w:left="6750" w:hanging="360"/>
      </w:pPr>
    </w:lvl>
    <w:lvl w:ilvl="4" w:tplc="04090019">
      <w:start w:val="1"/>
      <w:numFmt w:val="decimal"/>
      <w:lvlText w:val="%5."/>
      <w:lvlJc w:val="left"/>
      <w:pPr>
        <w:tabs>
          <w:tab w:val="num" w:pos="7470"/>
        </w:tabs>
        <w:ind w:left="7470" w:hanging="360"/>
      </w:pPr>
    </w:lvl>
    <w:lvl w:ilvl="5" w:tplc="0409001B">
      <w:start w:val="1"/>
      <w:numFmt w:val="decimal"/>
      <w:lvlText w:val="%6."/>
      <w:lvlJc w:val="left"/>
      <w:pPr>
        <w:tabs>
          <w:tab w:val="num" w:pos="8190"/>
        </w:tabs>
        <w:ind w:left="8190" w:hanging="360"/>
      </w:pPr>
    </w:lvl>
    <w:lvl w:ilvl="6" w:tplc="0409000F">
      <w:start w:val="1"/>
      <w:numFmt w:val="decimal"/>
      <w:lvlText w:val="%7."/>
      <w:lvlJc w:val="left"/>
      <w:pPr>
        <w:tabs>
          <w:tab w:val="num" w:pos="8910"/>
        </w:tabs>
        <w:ind w:left="8910" w:hanging="360"/>
      </w:pPr>
    </w:lvl>
    <w:lvl w:ilvl="7" w:tplc="04090019">
      <w:start w:val="1"/>
      <w:numFmt w:val="decimal"/>
      <w:lvlText w:val="%8."/>
      <w:lvlJc w:val="left"/>
      <w:pPr>
        <w:tabs>
          <w:tab w:val="num" w:pos="9630"/>
        </w:tabs>
        <w:ind w:left="9630" w:hanging="360"/>
      </w:pPr>
    </w:lvl>
    <w:lvl w:ilvl="8" w:tplc="0409001B">
      <w:start w:val="1"/>
      <w:numFmt w:val="decimal"/>
      <w:lvlText w:val="%9."/>
      <w:lvlJc w:val="left"/>
      <w:pPr>
        <w:tabs>
          <w:tab w:val="num" w:pos="10350"/>
        </w:tabs>
        <w:ind w:left="10350" w:hanging="360"/>
      </w:pPr>
    </w:lvl>
  </w:abstractNum>
  <w:abstractNum w:abstractNumId="4" w15:restartNumberingAfterBreak="0">
    <w:nsid w:val="66D83BDC"/>
    <w:multiLevelType w:val="multilevel"/>
    <w:tmpl w:val="5D420770"/>
    <w:lvl w:ilvl="0">
      <w:start w:val="1"/>
      <w:numFmt w:val="bullet"/>
      <w:lvlText w:val=""/>
      <w:lvlJc w:val="left"/>
      <w:pPr>
        <w:tabs>
          <w:tab w:val="num" w:pos="1080"/>
        </w:tabs>
        <w:ind w:left="1080" w:hanging="360"/>
      </w:pPr>
      <w:rPr>
        <w:rFonts w:ascii="Symbol" w:hAnsi="Symbol" w:hint="default"/>
        <w:sz w:val="20"/>
      </w:rPr>
    </w:lvl>
    <w:lvl w:ilvl="1">
      <w:start w:val="1"/>
      <w:numFmt w:val="lowerRoman"/>
      <w:lvlText w:val="(%2)"/>
      <w:lvlJc w:val="left"/>
      <w:pPr>
        <w:ind w:left="2160" w:hanging="720"/>
      </w:pPr>
      <w:rPr>
        <w:rFonts w:hint="default"/>
        <w:i/>
        <w:iCs/>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78D66F87"/>
    <w:multiLevelType w:val="hybridMultilevel"/>
    <w:tmpl w:val="810E7508"/>
    <w:lvl w:ilvl="0" w:tplc="0809001B">
      <w:start w:val="1"/>
      <w:numFmt w:val="lowerRoman"/>
      <w:lvlText w:val="%1."/>
      <w:lvlJc w:val="right"/>
      <w:pPr>
        <w:ind w:left="1462" w:hanging="360"/>
      </w:pPr>
      <w:rPr>
        <w:rFonts w:hint="default"/>
        <w:i/>
        <w:iCs/>
      </w:rPr>
    </w:lvl>
    <w:lvl w:ilvl="1" w:tplc="04090019" w:tentative="1">
      <w:start w:val="1"/>
      <w:numFmt w:val="lowerLetter"/>
      <w:lvlText w:val="%2."/>
      <w:lvlJc w:val="left"/>
      <w:pPr>
        <w:ind w:left="2182" w:hanging="360"/>
      </w:pPr>
    </w:lvl>
    <w:lvl w:ilvl="2" w:tplc="0409001B" w:tentative="1">
      <w:start w:val="1"/>
      <w:numFmt w:val="lowerRoman"/>
      <w:lvlText w:val="%3."/>
      <w:lvlJc w:val="right"/>
      <w:pPr>
        <w:ind w:left="2902" w:hanging="180"/>
      </w:pPr>
    </w:lvl>
    <w:lvl w:ilvl="3" w:tplc="0409000F" w:tentative="1">
      <w:start w:val="1"/>
      <w:numFmt w:val="decimal"/>
      <w:lvlText w:val="%4."/>
      <w:lvlJc w:val="left"/>
      <w:pPr>
        <w:ind w:left="3622" w:hanging="360"/>
      </w:pPr>
    </w:lvl>
    <w:lvl w:ilvl="4" w:tplc="04090019" w:tentative="1">
      <w:start w:val="1"/>
      <w:numFmt w:val="lowerLetter"/>
      <w:lvlText w:val="%5."/>
      <w:lvlJc w:val="left"/>
      <w:pPr>
        <w:ind w:left="4342" w:hanging="360"/>
      </w:pPr>
    </w:lvl>
    <w:lvl w:ilvl="5" w:tplc="0409001B" w:tentative="1">
      <w:start w:val="1"/>
      <w:numFmt w:val="lowerRoman"/>
      <w:lvlText w:val="%6."/>
      <w:lvlJc w:val="right"/>
      <w:pPr>
        <w:ind w:left="5062" w:hanging="180"/>
      </w:pPr>
    </w:lvl>
    <w:lvl w:ilvl="6" w:tplc="0409000F" w:tentative="1">
      <w:start w:val="1"/>
      <w:numFmt w:val="decimal"/>
      <w:lvlText w:val="%7."/>
      <w:lvlJc w:val="left"/>
      <w:pPr>
        <w:ind w:left="5782" w:hanging="360"/>
      </w:pPr>
    </w:lvl>
    <w:lvl w:ilvl="7" w:tplc="04090019" w:tentative="1">
      <w:start w:val="1"/>
      <w:numFmt w:val="lowerLetter"/>
      <w:lvlText w:val="%8."/>
      <w:lvlJc w:val="left"/>
      <w:pPr>
        <w:ind w:left="6502" w:hanging="360"/>
      </w:pPr>
    </w:lvl>
    <w:lvl w:ilvl="8" w:tplc="0409001B" w:tentative="1">
      <w:start w:val="1"/>
      <w:numFmt w:val="lowerRoman"/>
      <w:lvlText w:val="%9."/>
      <w:lvlJc w:val="right"/>
      <w:pPr>
        <w:ind w:left="7222" w:hanging="180"/>
      </w:pPr>
    </w:lvl>
  </w:abstractNum>
  <w:abstractNum w:abstractNumId="6" w15:restartNumberingAfterBreak="0">
    <w:nsid w:val="7A3B0368"/>
    <w:multiLevelType w:val="hybridMultilevel"/>
    <w:tmpl w:val="3B268ADA"/>
    <w:lvl w:ilvl="0" w:tplc="08090001">
      <w:start w:val="1"/>
      <w:numFmt w:val="bullet"/>
      <w:lvlText w:val=""/>
      <w:lvlJc w:val="left"/>
      <w:pPr>
        <w:ind w:left="1288" w:hanging="720"/>
      </w:pPr>
      <w:rPr>
        <w:rFonts w:ascii="Symbol" w:hAnsi="Symbol" w:hint="default"/>
      </w:r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num w:numId="1">
    <w:abstractNumId w:val="2"/>
  </w:num>
  <w:num w:numId="2">
    <w:abstractNumId w:val="6"/>
  </w:num>
  <w:num w:numId="3">
    <w:abstractNumId w:val="1"/>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C2C"/>
    <w:rsid w:val="00190C2C"/>
    <w:rsid w:val="001A387C"/>
    <w:rsid w:val="00501053"/>
    <w:rsid w:val="00530AC9"/>
    <w:rsid w:val="00BA56C7"/>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6A125E54"/>
  <w15:chartTrackingRefBased/>
  <w15:docId w15:val="{BDC3832B-4815-7149-9069-F9A1B70FF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0A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90C2C"/>
    <w:pPr>
      <w:keepNext/>
      <w:spacing w:before="240" w:after="60"/>
      <w:outlineLvl w:val="1"/>
    </w:pPr>
    <w:rPr>
      <w:rFonts w:asciiTheme="majorHAnsi" w:eastAsiaTheme="majorEastAsia" w:hAnsiTheme="majorHAnsi" w:cstheme="majorBidi"/>
      <w:b/>
      <w:bCs/>
      <w:i/>
      <w:iCs/>
      <w:szCs w:val="28"/>
      <w:lang w:val="en-US"/>
    </w:rPr>
  </w:style>
  <w:style w:type="paragraph" w:styleId="Heading3">
    <w:name w:val="heading 3"/>
    <w:basedOn w:val="Normal"/>
    <w:next w:val="Normal"/>
    <w:link w:val="Heading3Char"/>
    <w:uiPriority w:val="9"/>
    <w:unhideWhenUsed/>
    <w:qFormat/>
    <w:rsid w:val="00190C2C"/>
    <w:pPr>
      <w:keepNext/>
      <w:numPr>
        <w:numId w:val="1"/>
      </w:numPr>
      <w:spacing w:before="240" w:after="60"/>
      <w:outlineLvl w:val="2"/>
    </w:pPr>
    <w:rPr>
      <w:rFonts w:ascii="Times New Roman" w:eastAsiaTheme="majorEastAsia" w:hAnsi="Times New Roman" w:cstheme="majorBidi"/>
      <w:bCs/>
      <w:i/>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0C2C"/>
    <w:rPr>
      <w:rFonts w:asciiTheme="majorHAnsi" w:eastAsiaTheme="majorEastAsia" w:hAnsiTheme="majorHAnsi" w:cstheme="majorBidi"/>
      <w:b/>
      <w:bCs/>
      <w:i/>
      <w:iCs/>
      <w:szCs w:val="28"/>
      <w:lang w:val="en-US"/>
    </w:rPr>
  </w:style>
  <w:style w:type="character" w:customStyle="1" w:styleId="Heading3Char">
    <w:name w:val="Heading 3 Char"/>
    <w:basedOn w:val="DefaultParagraphFont"/>
    <w:link w:val="Heading3"/>
    <w:uiPriority w:val="9"/>
    <w:rsid w:val="00190C2C"/>
    <w:rPr>
      <w:rFonts w:ascii="Times New Roman" w:eastAsiaTheme="majorEastAsia" w:hAnsi="Times New Roman" w:cstheme="majorBidi"/>
      <w:bCs/>
      <w:i/>
      <w:szCs w:val="26"/>
      <w:lang w:val="en-US"/>
    </w:rPr>
  </w:style>
  <w:style w:type="paragraph" w:styleId="ListParagraph">
    <w:name w:val="List Paragraph"/>
    <w:basedOn w:val="Normal"/>
    <w:link w:val="ListParagraphChar"/>
    <w:uiPriority w:val="34"/>
    <w:qFormat/>
    <w:rsid w:val="00190C2C"/>
    <w:pPr>
      <w:ind w:left="720"/>
      <w:contextualSpacing/>
    </w:pPr>
    <w:rPr>
      <w:rFonts w:ascii="Times New Roman" w:eastAsia="Times New Roman" w:hAnsi="Times New Roman" w:cs="Times New Roman"/>
      <w:sz w:val="20"/>
      <w:szCs w:val="20"/>
      <w:lang w:val="en-US"/>
    </w:rPr>
  </w:style>
  <w:style w:type="character" w:customStyle="1" w:styleId="ListParagraphChar">
    <w:name w:val="List Paragraph Char"/>
    <w:link w:val="ListParagraph"/>
    <w:uiPriority w:val="34"/>
    <w:rsid w:val="00190C2C"/>
    <w:rPr>
      <w:rFonts w:ascii="Times New Roman" w:eastAsia="Times New Roman" w:hAnsi="Times New Roman" w:cs="Times New Roman"/>
      <w:sz w:val="20"/>
      <w:szCs w:val="20"/>
      <w:lang w:val="en-US"/>
    </w:rPr>
  </w:style>
  <w:style w:type="paragraph" w:styleId="NormalWeb">
    <w:name w:val="Normal (Web)"/>
    <w:basedOn w:val="Normal"/>
    <w:uiPriority w:val="99"/>
    <w:unhideWhenUsed/>
    <w:rsid w:val="00190C2C"/>
    <w:pPr>
      <w:spacing w:before="100" w:beforeAutospacing="1" w:after="100" w:afterAutospacing="1"/>
    </w:pPr>
    <w:rPr>
      <w:rFonts w:ascii="Times New Roman" w:eastAsia="Times New Roman" w:hAnsi="Times New Roman" w:cs="Times New Roman"/>
      <w:lang w:val="en-US"/>
    </w:rPr>
  </w:style>
  <w:style w:type="character" w:customStyle="1" w:styleId="Heading1Char">
    <w:name w:val="Heading 1 Char"/>
    <w:basedOn w:val="DefaultParagraphFont"/>
    <w:link w:val="Heading1"/>
    <w:uiPriority w:val="9"/>
    <w:rsid w:val="00530AC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30AC9"/>
    <w:pPr>
      <w:spacing w:before="480" w:line="276" w:lineRule="auto"/>
      <w:outlineLvl w:val="9"/>
    </w:pPr>
    <w:rPr>
      <w:b/>
      <w:bCs/>
      <w:sz w:val="28"/>
      <w:szCs w:val="28"/>
      <w:lang w:val="en-US"/>
    </w:rPr>
  </w:style>
  <w:style w:type="paragraph" w:styleId="TOC2">
    <w:name w:val="toc 2"/>
    <w:basedOn w:val="Normal"/>
    <w:next w:val="Normal"/>
    <w:autoRedefine/>
    <w:uiPriority w:val="39"/>
    <w:unhideWhenUsed/>
    <w:rsid w:val="00530AC9"/>
    <w:pPr>
      <w:spacing w:before="120"/>
      <w:ind w:left="240"/>
    </w:pPr>
    <w:rPr>
      <w:i/>
      <w:iCs/>
      <w:sz w:val="20"/>
      <w:szCs w:val="20"/>
    </w:rPr>
  </w:style>
  <w:style w:type="paragraph" w:styleId="TOC3">
    <w:name w:val="toc 3"/>
    <w:basedOn w:val="Normal"/>
    <w:next w:val="Normal"/>
    <w:autoRedefine/>
    <w:uiPriority w:val="39"/>
    <w:unhideWhenUsed/>
    <w:rsid w:val="00530AC9"/>
    <w:pPr>
      <w:ind w:left="480"/>
    </w:pPr>
    <w:rPr>
      <w:sz w:val="20"/>
      <w:szCs w:val="20"/>
    </w:rPr>
  </w:style>
  <w:style w:type="character" w:styleId="Hyperlink">
    <w:name w:val="Hyperlink"/>
    <w:basedOn w:val="DefaultParagraphFont"/>
    <w:uiPriority w:val="99"/>
    <w:unhideWhenUsed/>
    <w:rsid w:val="00530AC9"/>
    <w:rPr>
      <w:color w:val="0563C1" w:themeColor="hyperlink"/>
      <w:u w:val="single"/>
    </w:rPr>
  </w:style>
  <w:style w:type="paragraph" w:styleId="TOC1">
    <w:name w:val="toc 1"/>
    <w:basedOn w:val="Normal"/>
    <w:next w:val="Normal"/>
    <w:autoRedefine/>
    <w:uiPriority w:val="39"/>
    <w:unhideWhenUsed/>
    <w:rsid w:val="00530AC9"/>
    <w:pPr>
      <w:spacing w:before="240" w:after="120"/>
    </w:pPr>
    <w:rPr>
      <w:b/>
      <w:bCs/>
      <w:sz w:val="20"/>
      <w:szCs w:val="20"/>
    </w:rPr>
  </w:style>
  <w:style w:type="paragraph" w:styleId="TOC4">
    <w:name w:val="toc 4"/>
    <w:basedOn w:val="Normal"/>
    <w:next w:val="Normal"/>
    <w:autoRedefine/>
    <w:uiPriority w:val="39"/>
    <w:unhideWhenUsed/>
    <w:rsid w:val="00530AC9"/>
    <w:pPr>
      <w:ind w:left="720"/>
    </w:pPr>
    <w:rPr>
      <w:sz w:val="20"/>
      <w:szCs w:val="20"/>
    </w:rPr>
  </w:style>
  <w:style w:type="paragraph" w:styleId="TOC5">
    <w:name w:val="toc 5"/>
    <w:basedOn w:val="Normal"/>
    <w:next w:val="Normal"/>
    <w:autoRedefine/>
    <w:uiPriority w:val="39"/>
    <w:unhideWhenUsed/>
    <w:rsid w:val="00530AC9"/>
    <w:pPr>
      <w:ind w:left="960"/>
    </w:pPr>
    <w:rPr>
      <w:sz w:val="20"/>
      <w:szCs w:val="20"/>
    </w:rPr>
  </w:style>
  <w:style w:type="paragraph" w:styleId="TOC6">
    <w:name w:val="toc 6"/>
    <w:basedOn w:val="Normal"/>
    <w:next w:val="Normal"/>
    <w:autoRedefine/>
    <w:uiPriority w:val="39"/>
    <w:unhideWhenUsed/>
    <w:rsid w:val="00530AC9"/>
    <w:pPr>
      <w:ind w:left="1200"/>
    </w:pPr>
    <w:rPr>
      <w:sz w:val="20"/>
      <w:szCs w:val="20"/>
    </w:rPr>
  </w:style>
  <w:style w:type="paragraph" w:styleId="TOC7">
    <w:name w:val="toc 7"/>
    <w:basedOn w:val="Normal"/>
    <w:next w:val="Normal"/>
    <w:autoRedefine/>
    <w:uiPriority w:val="39"/>
    <w:unhideWhenUsed/>
    <w:rsid w:val="00530AC9"/>
    <w:pPr>
      <w:ind w:left="1440"/>
    </w:pPr>
    <w:rPr>
      <w:sz w:val="20"/>
      <w:szCs w:val="20"/>
    </w:rPr>
  </w:style>
  <w:style w:type="paragraph" w:styleId="TOC8">
    <w:name w:val="toc 8"/>
    <w:basedOn w:val="Normal"/>
    <w:next w:val="Normal"/>
    <w:autoRedefine/>
    <w:uiPriority w:val="39"/>
    <w:unhideWhenUsed/>
    <w:rsid w:val="00530AC9"/>
    <w:pPr>
      <w:ind w:left="1680"/>
    </w:pPr>
    <w:rPr>
      <w:sz w:val="20"/>
      <w:szCs w:val="20"/>
    </w:rPr>
  </w:style>
  <w:style w:type="paragraph" w:styleId="TOC9">
    <w:name w:val="toc 9"/>
    <w:basedOn w:val="Normal"/>
    <w:next w:val="Normal"/>
    <w:autoRedefine/>
    <w:uiPriority w:val="39"/>
    <w:unhideWhenUsed/>
    <w:rsid w:val="00530AC9"/>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07718-A08A-E349-9619-C2ACCED60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1512</Words>
  <Characters>8621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3674</dc:creator>
  <cp:keywords/>
  <dc:description/>
  <cp:lastModifiedBy>3674</cp:lastModifiedBy>
  <cp:revision>3</cp:revision>
  <dcterms:created xsi:type="dcterms:W3CDTF">2022-05-02T06:03:00Z</dcterms:created>
  <dcterms:modified xsi:type="dcterms:W3CDTF">2022-05-02T19:32:00Z</dcterms:modified>
</cp:coreProperties>
</file>